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bookmarkStart w:id="0" w:name="_GoBack"/>
      <w:bookmarkEnd w:id="0"/>
      <w:r w:rsidRPr="0060022D">
        <w:rPr>
          <w:rFonts w:ascii="Times New Roman" w:eastAsia="Times New Roman" w:hAnsi="Times New Roman" w:cs="Times New Roman"/>
          <w:color w:val="000000"/>
          <w:sz w:val="24"/>
          <w:szCs w:val="24"/>
          <w:lang w:eastAsia="es-AR"/>
        </w:rPr>
        <w:t>SUPREMA CORTE DE JUSTICIA - SALA PRIMERA</w:t>
      </w:r>
    </w:p>
    <w:p w:rsidR="0060022D" w:rsidRPr="0060022D" w:rsidRDefault="0060022D" w:rsidP="0060022D">
      <w:pPr>
        <w:spacing w:before="100" w:beforeAutospacing="1" w:after="2059" w:line="360" w:lineRule="atLeast"/>
        <w:rPr>
          <w:rFonts w:ascii="Times New Roman" w:eastAsia="Times New Roman" w:hAnsi="Times New Roman" w:cs="Times New Roman"/>
          <w:color w:val="000000"/>
          <w:sz w:val="27"/>
          <w:szCs w:val="27"/>
          <w:lang w:eastAsia="es-AR"/>
        </w:rPr>
      </w:pPr>
      <w:r w:rsidRPr="0060022D">
        <w:rPr>
          <w:rFonts w:ascii="Times New Roman" w:eastAsia="Times New Roman" w:hAnsi="Times New Roman" w:cs="Times New Roman"/>
          <w:color w:val="000000"/>
          <w:sz w:val="24"/>
          <w:szCs w:val="24"/>
          <w:lang w:eastAsia="es-AR"/>
        </w:rPr>
        <w:t>PODER JUDICIAL MENDOZA</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Foja: 5</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CUIJ: 13-04896618-1/1((020301-31007))</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PROVINCIA DE MENDOZA EN </w:t>
      </w:r>
      <w:proofErr w:type="spellStart"/>
      <w:r w:rsidRPr="0060022D">
        <w:rPr>
          <w:rFonts w:ascii="Times New Roman" w:eastAsia="Times New Roman" w:hAnsi="Times New Roman" w:cs="Times New Roman"/>
          <w:color w:val="000000"/>
          <w:sz w:val="24"/>
          <w:szCs w:val="24"/>
          <w:lang w:eastAsia="es-AR"/>
        </w:rPr>
        <w:t>J°</w:t>
      </w:r>
      <w:proofErr w:type="spellEnd"/>
      <w:r w:rsidRPr="0060022D">
        <w:rPr>
          <w:rFonts w:ascii="Times New Roman" w:eastAsia="Times New Roman" w:hAnsi="Times New Roman" w:cs="Times New Roman"/>
          <w:color w:val="000000"/>
          <w:sz w:val="24"/>
          <w:szCs w:val="24"/>
          <w:lang w:eastAsia="es-AR"/>
        </w:rPr>
        <w:t xml:space="preserve"> 13-04896618-1 (200271) / 31007 GIMENEZ, MARCELO ANTONIO P/SI Y P/ SU HIJA CANDELA GIMENEZ GONZALEZ, GONZALEZ MARIA ALEJANDRA P/ SI Y P/SU HIJA CANDELA GIMENEZ GONZALEZ Y GIMENEZ SOFIA C/ SCOLLO, HUGO ARMANDO Y OTS. P/ DAÑOS Y PERJUICIOS P/ RECURSO EXTRAORDINARIO PROVINCIAL</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Arial" w:eastAsia="Times New Roman" w:hAnsi="Arial" w:cs="Arial"/>
          <w:color w:val="000000"/>
          <w:sz w:val="24"/>
          <w:szCs w:val="24"/>
          <w:lang w:eastAsia="es-AR"/>
        </w:rPr>
        <w:t>*106085815*</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val="es-ES" w:eastAsia="es-AR"/>
        </w:rPr>
        <w:t>En Mendoza, a veintitrés días del mes de febrero del año dos mil veintitrés, reunida la Sala Primera de la Excma. Suprema Corte de Justicia, tomó en consideración para dictar sentencia definitiva la causa n° 1</w:t>
      </w:r>
      <w:r w:rsidRPr="0060022D">
        <w:rPr>
          <w:rFonts w:ascii="Times New Roman" w:eastAsia="Times New Roman" w:hAnsi="Times New Roman" w:cs="Times New Roman"/>
          <w:b/>
          <w:bCs/>
          <w:color w:val="000000"/>
          <w:sz w:val="24"/>
          <w:szCs w:val="24"/>
          <w:lang w:val="es-ES" w:eastAsia="es-AR"/>
        </w:rPr>
        <w:t>3-04896618-1/1 (020301-31007)</w:t>
      </w:r>
      <w:r w:rsidRPr="0060022D">
        <w:rPr>
          <w:rFonts w:ascii="Times New Roman" w:eastAsia="Times New Roman" w:hAnsi="Times New Roman" w:cs="Times New Roman"/>
          <w:color w:val="000000"/>
          <w:sz w:val="24"/>
          <w:szCs w:val="24"/>
          <w:lang w:val="es-ES" w:eastAsia="es-AR"/>
        </w:rPr>
        <w:t>, caratulada: </w:t>
      </w:r>
      <w:r w:rsidRPr="0060022D">
        <w:rPr>
          <w:rFonts w:ascii="Times New Roman" w:eastAsia="Times New Roman" w:hAnsi="Times New Roman" w:cs="Times New Roman"/>
          <w:b/>
          <w:bCs/>
          <w:color w:val="000000"/>
          <w:sz w:val="24"/>
          <w:szCs w:val="24"/>
          <w:lang w:val="es-ES" w:eastAsia="es-AR"/>
        </w:rPr>
        <w:t xml:space="preserve">“PROVINCIA DE MENDOZA EN </w:t>
      </w:r>
      <w:proofErr w:type="spellStart"/>
      <w:r w:rsidRPr="0060022D">
        <w:rPr>
          <w:rFonts w:ascii="Times New Roman" w:eastAsia="Times New Roman" w:hAnsi="Times New Roman" w:cs="Times New Roman"/>
          <w:b/>
          <w:bCs/>
          <w:color w:val="000000"/>
          <w:sz w:val="24"/>
          <w:szCs w:val="24"/>
          <w:lang w:val="es-ES" w:eastAsia="es-AR"/>
        </w:rPr>
        <w:t>J°</w:t>
      </w:r>
      <w:proofErr w:type="spellEnd"/>
      <w:r w:rsidRPr="0060022D">
        <w:rPr>
          <w:rFonts w:ascii="Times New Roman" w:eastAsia="Times New Roman" w:hAnsi="Times New Roman" w:cs="Times New Roman"/>
          <w:b/>
          <w:bCs/>
          <w:color w:val="000000"/>
          <w:sz w:val="24"/>
          <w:szCs w:val="24"/>
          <w:lang w:val="es-ES" w:eastAsia="es-AR"/>
        </w:rPr>
        <w:t xml:space="preserve"> 13-04896618-1 (200271)/31007 GIMENEZ, MARCELO ANTONIO P/SI Y P/ SU HIJA CANDELA GIMENEZ GONZALEZ, GONZALEZ MARIA ALEJANDRA P/ SI Y P/SU HIJA CANDELA GIMENEZ GONZALEZ Y GIMENEZ SOFIA C/ SCOLLO, HUGO ARMANDO Y OTS. P/ DAÑOS Y PERJUICIOS P/ RECURSO EXTRAORDINARIO PROVINCIAL”.-</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De conformidad con lo decretado en autos quedó establecido el siguiente orden de estudio en la causa para el tratamiento de las cuestiones por parte de los Señores Ministros del Tribunal: </w:t>
      </w:r>
      <w:r w:rsidRPr="0060022D">
        <w:rPr>
          <w:rFonts w:ascii="Times New Roman" w:eastAsia="Times New Roman" w:hAnsi="Times New Roman" w:cs="Times New Roman"/>
          <w:color w:val="000000"/>
          <w:sz w:val="24"/>
          <w:szCs w:val="24"/>
          <w:lang w:val="es-ES" w:eastAsia="es-AR"/>
        </w:rPr>
        <w:t>primera: </w:t>
      </w:r>
      <w:r w:rsidRPr="0060022D">
        <w:rPr>
          <w:rFonts w:ascii="Times New Roman" w:eastAsia="Times New Roman" w:hAnsi="Times New Roman" w:cs="Times New Roman"/>
          <w:b/>
          <w:bCs/>
          <w:color w:val="000000"/>
          <w:sz w:val="24"/>
          <w:szCs w:val="24"/>
          <w:lang w:val="es-ES" w:eastAsia="es-AR"/>
        </w:rPr>
        <w:t>DRA. MARÍA TERESA DAY</w:t>
      </w:r>
      <w:r w:rsidRPr="0060022D">
        <w:rPr>
          <w:rFonts w:ascii="Times New Roman" w:eastAsia="Times New Roman" w:hAnsi="Times New Roman" w:cs="Times New Roman"/>
          <w:color w:val="000000"/>
          <w:sz w:val="24"/>
          <w:szCs w:val="24"/>
          <w:lang w:val="es-ES" w:eastAsia="es-AR"/>
        </w:rPr>
        <w:t>; segundo: </w:t>
      </w:r>
      <w:r w:rsidRPr="0060022D">
        <w:rPr>
          <w:rFonts w:ascii="Times New Roman" w:eastAsia="Times New Roman" w:hAnsi="Times New Roman" w:cs="Times New Roman"/>
          <w:b/>
          <w:bCs/>
          <w:color w:val="000000"/>
          <w:sz w:val="24"/>
          <w:szCs w:val="24"/>
          <w:lang w:val="es-ES" w:eastAsia="es-AR"/>
        </w:rPr>
        <w:t>DR. JULIO RAMÓN GÓMEZ</w:t>
      </w:r>
      <w:r w:rsidRPr="0060022D">
        <w:rPr>
          <w:rFonts w:ascii="Times New Roman" w:eastAsia="Times New Roman" w:hAnsi="Times New Roman" w:cs="Times New Roman"/>
          <w:color w:val="000000"/>
          <w:sz w:val="24"/>
          <w:szCs w:val="24"/>
          <w:lang w:val="es-ES" w:eastAsia="es-AR"/>
        </w:rPr>
        <w:t>; tercero: </w:t>
      </w:r>
      <w:r w:rsidRPr="0060022D">
        <w:rPr>
          <w:rFonts w:ascii="Times New Roman" w:eastAsia="Times New Roman" w:hAnsi="Times New Roman" w:cs="Times New Roman"/>
          <w:b/>
          <w:bCs/>
          <w:color w:val="000000"/>
          <w:sz w:val="24"/>
          <w:szCs w:val="24"/>
          <w:lang w:val="es-ES" w:eastAsia="es-AR"/>
        </w:rPr>
        <w:t>DR. PEDRO JORGE LLORENTE</w:t>
      </w:r>
      <w:r w:rsidRPr="0060022D">
        <w:rPr>
          <w:rFonts w:ascii="Times New Roman" w:eastAsia="Times New Roman" w:hAnsi="Times New Roman" w:cs="Times New Roman"/>
          <w:color w:val="000000"/>
          <w:sz w:val="24"/>
          <w:szCs w:val="24"/>
          <w:lang w:val="es-ES" w:eastAsia="es-AR"/>
        </w:rPr>
        <w:t>.</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ANTECEDENTES: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La Provincia de Mendoza, en su calidad de demandada, interpone Recurso Extraordinario Provincial contra la sentencia dictada por la Primera Cámara de Apelaciones en lo Civil de la Segunda Circunscripción Judicial, en fecha 10/02/2022, a </w:t>
      </w:r>
      <w:r w:rsidRPr="0060022D">
        <w:rPr>
          <w:rFonts w:ascii="Times New Roman" w:eastAsia="Times New Roman" w:hAnsi="Times New Roman" w:cs="Times New Roman"/>
          <w:color w:val="000000"/>
          <w:sz w:val="24"/>
          <w:szCs w:val="24"/>
          <w:lang w:eastAsia="es-AR"/>
        </w:rPr>
        <w:lastRenderedPageBreak/>
        <w:t>fojas 1307 de los autos n° 13-04896618-1 (020301-31007), caratulados: “GIMENEZ MARCELO ANTONIO P/ SI Y P/ SU HIJA CANDELA GIMENEZ GONZALEZ, GONZÁLEZ MARÍA ALEJANDRA P/ SI Y P/ SU HIJA CANDELA GIMENEZ GONZALEZ Y GIMENEZ SOFÍA C/ SCOLLO HUGO ARMANDO Y OTS.”.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 fojas 1 se admite formalmente el recurso deducido y se ordena correr traslado a la parte contraria. Al contestar traslado los actores, solicitan el rechazo del recurso, con costas. Por su parte, el codemandado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solicita que se haga lugar al recurso interpuesto.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 su turno, la Sra. Asesora de Menores interviniente manifiesta que adhiere en su totalidad a la contestación del recurso efectuado por la parte actora.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Procuración General del Tribunal, al emitir su dictamen, aconseja el acogimiento del recurso deducido.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Se llama al acuerdo para dictar sentencia y se deja constancia del orden de estudio para el tratamiento de las cuestiones por parte de los Señores Ministros del Tribunal.</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De conformidad con lo establecido en el art. 160 de la Constitución de la Provincia, se plantean las siguientes cuestiones a resolver:</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PRIMERA CUESTIÓN:</w:t>
      </w:r>
      <w:r w:rsidRPr="0060022D">
        <w:rPr>
          <w:rFonts w:ascii="Times New Roman" w:eastAsia="Times New Roman" w:hAnsi="Times New Roman" w:cs="Times New Roman"/>
          <w:b/>
          <w:bCs/>
          <w:color w:val="000000"/>
          <w:sz w:val="24"/>
          <w:szCs w:val="24"/>
          <w:lang w:eastAsia="es-AR"/>
        </w:rPr>
        <w:t> </w:t>
      </w:r>
      <w:r w:rsidRPr="0060022D">
        <w:rPr>
          <w:rFonts w:ascii="Times New Roman" w:eastAsia="Times New Roman" w:hAnsi="Times New Roman" w:cs="Times New Roman"/>
          <w:color w:val="000000"/>
          <w:sz w:val="24"/>
          <w:szCs w:val="24"/>
          <w:lang w:eastAsia="es-AR"/>
        </w:rPr>
        <w:t>¿Es procedente el Recurso Extraordinario Provincial interpuesto?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SEGUNDA CUESTIÓN</w:t>
      </w:r>
      <w:r w:rsidRPr="0060022D">
        <w:rPr>
          <w:rFonts w:ascii="Times New Roman" w:eastAsia="Times New Roman" w:hAnsi="Times New Roman" w:cs="Times New Roman"/>
          <w:color w:val="000000"/>
          <w:sz w:val="24"/>
          <w:szCs w:val="24"/>
          <w:lang w:eastAsia="es-AR"/>
        </w:rPr>
        <w:t>: En su caso, ¿qué solución corresponde?</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TERCERA CUESTIÓN</w:t>
      </w:r>
      <w:r w:rsidRPr="0060022D">
        <w:rPr>
          <w:rFonts w:ascii="Times New Roman" w:eastAsia="Times New Roman" w:hAnsi="Times New Roman" w:cs="Times New Roman"/>
          <w:color w:val="000000"/>
          <w:sz w:val="24"/>
          <w:szCs w:val="24"/>
          <w:lang w:eastAsia="es-AR"/>
        </w:rPr>
        <w:t>: Costas.</w:t>
      </w:r>
    </w:p>
    <w:p w:rsidR="0060022D" w:rsidRPr="0060022D" w:rsidRDefault="0060022D" w:rsidP="0060022D">
      <w:p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A LA PRIMERA CUESTIÓN LA</w:t>
      </w:r>
      <w:r w:rsidRPr="0060022D">
        <w:rPr>
          <w:rFonts w:ascii="Times New Roman" w:eastAsia="Times New Roman" w:hAnsi="Times New Roman" w:cs="Times New Roman"/>
          <w:b/>
          <w:bCs/>
          <w:color w:val="000000"/>
          <w:sz w:val="24"/>
          <w:szCs w:val="24"/>
          <w:u w:val="single"/>
          <w:lang w:val="es-ES" w:eastAsia="es-AR"/>
        </w:rPr>
        <w:t> DRA. MARÍA TERESA DAY,</w:t>
      </w:r>
      <w:r w:rsidRPr="0060022D">
        <w:rPr>
          <w:rFonts w:ascii="Times New Roman" w:eastAsia="Times New Roman" w:hAnsi="Times New Roman" w:cs="Times New Roman"/>
          <w:b/>
          <w:bCs/>
          <w:color w:val="000000"/>
          <w:sz w:val="24"/>
          <w:szCs w:val="24"/>
          <w:u w:val="single"/>
          <w:shd w:val="clear" w:color="auto" w:fill="FFFFFF"/>
          <w:lang w:val="es-ES" w:eastAsia="es-AR"/>
        </w:rPr>
        <w:t> </w:t>
      </w:r>
      <w:r w:rsidRPr="0060022D">
        <w:rPr>
          <w:rFonts w:ascii="Times New Roman" w:eastAsia="Times New Roman" w:hAnsi="Times New Roman" w:cs="Times New Roman"/>
          <w:b/>
          <w:bCs/>
          <w:color w:val="000000"/>
          <w:sz w:val="24"/>
          <w:szCs w:val="24"/>
          <w:u w:val="single"/>
          <w:lang w:eastAsia="es-AR"/>
        </w:rPr>
        <w:t>DIJO:</w:t>
      </w:r>
    </w:p>
    <w:p w:rsidR="0060022D" w:rsidRPr="0060022D" w:rsidRDefault="0060022D" w:rsidP="0060022D">
      <w:p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 </w:t>
      </w:r>
      <w:r w:rsidRPr="0060022D">
        <w:rPr>
          <w:rFonts w:ascii="Times New Roman" w:eastAsia="Times New Roman" w:hAnsi="Times New Roman" w:cs="Times New Roman"/>
          <w:b/>
          <w:bCs/>
          <w:color w:val="000000"/>
          <w:sz w:val="24"/>
          <w:szCs w:val="24"/>
          <w:u w:val="single"/>
          <w:lang w:eastAsia="es-AR"/>
        </w:rPr>
        <w:t>RELATO DE LA CAUSA.</w:t>
      </w:r>
    </w:p>
    <w:p w:rsidR="0060022D" w:rsidRPr="0060022D" w:rsidRDefault="0060022D" w:rsidP="0060022D">
      <w:pPr>
        <w:spacing w:before="100" w:beforeAutospacing="1" w:after="115" w:line="300" w:lineRule="atLeast"/>
        <w:ind w:firstLine="1224"/>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Entre los hechos relevantes para la resolución de la presente causa, se destacan los siguientes:</w:t>
      </w:r>
    </w:p>
    <w:p w:rsidR="0060022D" w:rsidRPr="0060022D" w:rsidRDefault="0060022D" w:rsidP="0060022D">
      <w:pPr>
        <w:spacing w:before="100" w:beforeAutospacing="1" w:after="115"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1-El Sr. Marcelo </w:t>
      </w:r>
      <w:proofErr w:type="spellStart"/>
      <w:r w:rsidRPr="0060022D">
        <w:rPr>
          <w:rFonts w:ascii="Times New Roman" w:eastAsia="Times New Roman" w:hAnsi="Times New Roman" w:cs="Times New Roman"/>
          <w:color w:val="000000"/>
          <w:sz w:val="24"/>
          <w:szCs w:val="24"/>
          <w:lang w:eastAsia="es-AR"/>
        </w:rPr>
        <w:t>Gimenez</w:t>
      </w:r>
      <w:proofErr w:type="spellEnd"/>
      <w:r w:rsidRPr="0060022D">
        <w:rPr>
          <w:rFonts w:ascii="Times New Roman" w:eastAsia="Times New Roman" w:hAnsi="Times New Roman" w:cs="Times New Roman"/>
          <w:color w:val="000000"/>
          <w:sz w:val="24"/>
          <w:szCs w:val="24"/>
          <w:lang w:eastAsia="es-AR"/>
        </w:rPr>
        <w:t xml:space="preserve"> y la Sra. María Alejandra </w:t>
      </w:r>
      <w:proofErr w:type="spellStart"/>
      <w:r w:rsidRPr="0060022D">
        <w:rPr>
          <w:rFonts w:ascii="Times New Roman" w:eastAsia="Times New Roman" w:hAnsi="Times New Roman" w:cs="Times New Roman"/>
          <w:color w:val="000000"/>
          <w:sz w:val="24"/>
          <w:szCs w:val="24"/>
          <w:lang w:eastAsia="es-AR"/>
        </w:rPr>
        <w:t>Gónzález</w:t>
      </w:r>
      <w:proofErr w:type="spellEnd"/>
      <w:r w:rsidRPr="0060022D">
        <w:rPr>
          <w:rFonts w:ascii="Times New Roman" w:eastAsia="Times New Roman" w:hAnsi="Times New Roman" w:cs="Times New Roman"/>
          <w:color w:val="000000"/>
          <w:sz w:val="24"/>
          <w:szCs w:val="24"/>
          <w:lang w:eastAsia="es-AR"/>
        </w:rPr>
        <w:t xml:space="preserve">, por sí y en representación de sus hijas Candela, Victoria y Sofía </w:t>
      </w:r>
      <w:proofErr w:type="spellStart"/>
      <w:r w:rsidRPr="0060022D">
        <w:rPr>
          <w:rFonts w:ascii="Times New Roman" w:eastAsia="Times New Roman" w:hAnsi="Times New Roman" w:cs="Times New Roman"/>
          <w:color w:val="000000"/>
          <w:sz w:val="24"/>
          <w:szCs w:val="24"/>
          <w:lang w:eastAsia="es-AR"/>
        </w:rPr>
        <w:t>Gimenez</w:t>
      </w:r>
      <w:proofErr w:type="spellEnd"/>
      <w:r w:rsidRPr="0060022D">
        <w:rPr>
          <w:rFonts w:ascii="Times New Roman" w:eastAsia="Times New Roman" w:hAnsi="Times New Roman" w:cs="Times New Roman"/>
          <w:color w:val="000000"/>
          <w:sz w:val="24"/>
          <w:szCs w:val="24"/>
          <w:lang w:eastAsia="es-AR"/>
        </w:rPr>
        <w:t xml:space="preserve">, promueven demanda de daños y perjuicios contra el Sr.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contra la Provincia de Mendoza, por la suma de $ 21.950.000. Relatan que el día 29/10/2006, aproximadamente a las 03.35 </w:t>
      </w:r>
      <w:proofErr w:type="spellStart"/>
      <w:r w:rsidRPr="0060022D">
        <w:rPr>
          <w:rFonts w:ascii="Times New Roman" w:eastAsia="Times New Roman" w:hAnsi="Times New Roman" w:cs="Times New Roman"/>
          <w:color w:val="000000"/>
          <w:sz w:val="24"/>
          <w:szCs w:val="24"/>
          <w:lang w:eastAsia="es-AR"/>
        </w:rPr>
        <w:t>hs</w:t>
      </w:r>
      <w:proofErr w:type="spellEnd"/>
      <w:r w:rsidRPr="0060022D">
        <w:rPr>
          <w:rFonts w:ascii="Times New Roman" w:eastAsia="Times New Roman" w:hAnsi="Times New Roman" w:cs="Times New Roman"/>
          <w:color w:val="000000"/>
          <w:sz w:val="24"/>
          <w:szCs w:val="24"/>
          <w:lang w:eastAsia="es-AR"/>
        </w:rPr>
        <w:t xml:space="preserve">., 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conducía un Renault 12 a excesiva velocidad y de modo zigzagueante por la Avenida Hipólito Yrigoyen de San Rafael, atropellando a la joven Candela que se encontraba cruzando la calle. El conductor </w:t>
      </w:r>
      <w:r w:rsidRPr="0060022D">
        <w:rPr>
          <w:rFonts w:ascii="Times New Roman" w:eastAsia="Times New Roman" w:hAnsi="Times New Roman" w:cs="Times New Roman"/>
          <w:color w:val="000000"/>
          <w:sz w:val="24"/>
          <w:szCs w:val="24"/>
          <w:lang w:eastAsia="es-AR"/>
        </w:rPr>
        <w:lastRenderedPageBreak/>
        <w:t xml:space="preserve">se dio a la fuga. La víctima sufrió lesiones de gravedad (traumatismo </w:t>
      </w:r>
      <w:proofErr w:type="spellStart"/>
      <w:r w:rsidRPr="0060022D">
        <w:rPr>
          <w:rFonts w:ascii="Times New Roman" w:eastAsia="Times New Roman" w:hAnsi="Times New Roman" w:cs="Times New Roman"/>
          <w:color w:val="000000"/>
          <w:sz w:val="24"/>
          <w:szCs w:val="24"/>
          <w:lang w:eastAsia="es-AR"/>
        </w:rPr>
        <w:t>encéfalocraneano</w:t>
      </w:r>
      <w:proofErr w:type="spellEnd"/>
      <w:r w:rsidRPr="0060022D">
        <w:rPr>
          <w:rFonts w:ascii="Times New Roman" w:eastAsia="Times New Roman" w:hAnsi="Times New Roman" w:cs="Times New Roman"/>
          <w:color w:val="000000"/>
          <w:sz w:val="24"/>
          <w:szCs w:val="24"/>
          <w:lang w:eastAsia="es-AR"/>
        </w:rPr>
        <w:t xml:space="preserve"> grave con pérdida de conocimiento, fractura parietal derecha, entre otras). Atribuyen también responsabilidad objetiva y directa al Estado Provincial, por omisión en el control específico de conducción por parte del autor del hecho, sancionado en reiteradas oportunidades por ebriedad. Invocan la Resolución 230/08 del Ministerio de Seguridad en virtud de la cual la licencia debía serle retenida hasta que cumpliera los tratamientos adecuados. Señalan que el Ministerio de Seguridad disponía de medios suficientes para evitar que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siguiera conduciendo. Agregan que inexplicablemente, la vigencia de la Resolución 230/08 fue suspendida por la Resolución 1966/16, lo que da cuenta de la claudicación del deber de seguridad por parte del Estado. Sostienen que se omitió considerar la Ley 6125 modificatoria del Código de Faltas (arts. 61, 63 y 65) que trata el caso de conducción en estado de ebriedad y la ebriedad habitual. Afirman que el factor de atribución fue la omisión del Estado en el control específico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 quien le devolvía la licencia cada vez que era multado por ebriedad y, evidentemente, si hubiera prestado el servicio previsto en la Resolución 230/08 el conductor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no habría estado habilitado para conducir o habría superado su adicción dejando de ser un sujeto socialmente peligroso cuando conducía su automotor.</w:t>
      </w:r>
    </w:p>
    <w:p w:rsidR="0060022D" w:rsidRPr="0060022D" w:rsidRDefault="0060022D" w:rsidP="0060022D">
      <w:pPr>
        <w:spacing w:before="100" w:beforeAutospacing="1" w:after="115"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2-La Provincia de Mendoza contesta demanda. Niega que el Estado sea responsable por omisión en el control específico de conducción del autor del hecho. Niega falta de servicio. Señala que no puede evitarse que un sujeto se embriague y luego conduzca. Eso no está al alcance del poder de policía y obligación de seguridad a cargo del Estado. Sostiene que no ha incumplido la Resolución 230/08, ya que la licencia fue retenida todas las veces que se lo encontró conduciendo en estado de alcoholización. No existía norma legal que le impidiese al Estado entregar nuevamente la licencia al conductor a quien se le retuvo la misma y luego pagó las multas. Agrega que no hay relación causal entre el accidente provocado por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los daños sufridos por la actora, con las obligaciones que pesan sobre el Estado. Sostiene que la responsabilidad surge del hecho de otro, de un tercero extraño por el cual no debe responder.  Agrega que no hay omisión antijurídica, la actora pretende que el Estado actúe contra derecho, que viole la ley y le coarte la libertad a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al exigir un control absoluto sobre su persona para impedir la conducción de vehículos. Sostiene que no hay "falta de servicio" ya que para que ésta sea posible, debe existir una norma expresa que imponga un deber determinado no cumplido o cumplido irregularmente. Finalmente discute la procedencia de los rubros y montos reclamados.</w:t>
      </w:r>
    </w:p>
    <w:p w:rsidR="0060022D" w:rsidRPr="0060022D" w:rsidRDefault="0060022D" w:rsidP="0060022D">
      <w:pPr>
        <w:spacing w:before="100" w:beforeAutospacing="1" w:after="115"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3-A</w:t>
      </w:r>
      <w:r w:rsidRPr="0060022D">
        <w:rPr>
          <w:rFonts w:ascii="Times New Roman" w:eastAsia="Times New Roman" w:hAnsi="Times New Roman" w:cs="Times New Roman"/>
          <w:color w:val="000000"/>
          <w:sz w:val="20"/>
          <w:szCs w:val="20"/>
          <w:lang w:eastAsia="es-AR"/>
        </w:rPr>
        <w:t> </w:t>
      </w:r>
      <w:r w:rsidRPr="0060022D">
        <w:rPr>
          <w:rFonts w:ascii="Times New Roman" w:eastAsia="Times New Roman" w:hAnsi="Times New Roman" w:cs="Times New Roman"/>
          <w:color w:val="000000"/>
          <w:sz w:val="24"/>
          <w:szCs w:val="24"/>
          <w:lang w:eastAsia="es-AR"/>
        </w:rPr>
        <w:t xml:space="preserve">fs. 1006/1010 comparece y contesta demanda el demandado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Niega la mecánica del accidente relatada por los actores y niega haberse encontrado en estado de ebriedad. niega haber circulado a velocidad excesiva o en forma zigzagueante. Atribuye culpa a la víctima y culpa in vigilando de los padres, en tanto sostiene que la menor cruzó sin mirar la avenida. Refiere que le resultó imprevisto y súbito ya que no cruzó por la senda peatonal, que no se detuvo porque tuvo miedo que la gente que se encontraba saliendo de los boliches lo ataque. Sostiene que esa noche no bebió ninguna bebida alcohólica. Impugna los rubros y montos reclamados.</w:t>
      </w:r>
    </w:p>
    <w:p w:rsidR="0060022D" w:rsidRPr="0060022D" w:rsidRDefault="0060022D" w:rsidP="0060022D">
      <w:pPr>
        <w:spacing w:before="100" w:beforeAutospacing="1" w:after="115"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4-A fs. 1026/1031 contesta demanda Fiscalía de Estado. Niega que exista responsabilidad del Estado por falta de servicio, que se haya omitido aplicar la Resolución 230/08 mientras estuvo vigente, que no haya aplicado la Ley 6125 ni la Ley de Tránsito 6082 y que no haya cumplido el deber de seguridad que le compete. Niega que sea aplicable al caso la Ley de Responsabilidad del Estado 8968. Sostiene falta de legitimación sustancial pasiva en el Estado, ya que resulta ajeno al hecho. Agrega que se aplicó la Resolución 230/08 mientras estuvo vigente y también la Ley de Tránsito 6082, ya que se le aplicaron multas conforme lo establece el artículo 92 y se le secuestró el vehículo en tres oportunidades. Cuestiona que exista relación causal adecuada entre el obrar del Estado y los daños sufridos por los accionantes. La responsabilidad recae sobre un tercero por el cual el Estado no debe responder. También impugna los rubros y montos reclamados</w:t>
      </w:r>
      <w:r w:rsidRPr="0060022D">
        <w:rPr>
          <w:rFonts w:ascii="Times New Roman" w:eastAsia="Times New Roman" w:hAnsi="Times New Roman" w:cs="Times New Roman"/>
          <w:color w:val="000000"/>
          <w:sz w:val="20"/>
          <w:szCs w:val="20"/>
          <w:lang w:eastAsia="es-AR"/>
        </w:rPr>
        <w:t>.</w:t>
      </w:r>
    </w:p>
    <w:p w:rsidR="0060022D" w:rsidRPr="0060022D" w:rsidRDefault="0060022D" w:rsidP="0060022D">
      <w:pPr>
        <w:spacing w:before="100" w:beforeAutospacing="1" w:after="115"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5-Luego de sustanciada la causa, el juez de primera instancia dicta sentencia en la que condena al demandado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a la Provincia de Mendoza a abonar a los actores la suma de $ 20.500.000.</w:t>
      </w:r>
    </w:p>
    <w:p w:rsidR="0060022D" w:rsidRPr="0060022D" w:rsidRDefault="0060022D" w:rsidP="0060022D">
      <w:pPr>
        <w:spacing w:before="100" w:beforeAutospacing="1" w:after="115"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6-Dicha sentencia es apelada por todas las partes y, en fecha 10/02/2022, la Primera Cámara de Apelaciones en lo Civil, Comercial, Minas, de Paz y Tributario de la Segunda Circunscripción Judicial dicta sentencia en la cual declara desierto el recurso de apelación interpuesto por Fiscalía de Estado, rechaza los deducidos por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la Provincia de Mendoza, y admite parcialmente el recurso de los actores. En consecuencia, la demanda prospera por la suma total de $ 26.000.000. Respecto a la responsabilidad que le atribuye a la Provincia de Mendoza, sus argumentos pueden sintetizarse del siguiente modo:</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 cuanto a la legislación aplicable, atento la fecha del hecho dañoso, corresponde analizar la cuestión conforme los criterios jurisprudenciales -particularmente de la CSJN y de la SCJM- sentados con anterioridad a la vigencia de la Ley 8968, sin perjuicio de poder recurrir a dicha normativa a fines interpretativos.</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Para que exista responsabilidad del Estado por su actividad </w:t>
      </w:r>
      <w:proofErr w:type="spellStart"/>
      <w:r w:rsidRPr="0060022D">
        <w:rPr>
          <w:rFonts w:ascii="Times New Roman" w:eastAsia="Times New Roman" w:hAnsi="Times New Roman" w:cs="Times New Roman"/>
          <w:color w:val="000000"/>
          <w:sz w:val="24"/>
          <w:szCs w:val="24"/>
          <w:lang w:eastAsia="es-AR"/>
        </w:rPr>
        <w:t>ílicita</w:t>
      </w:r>
      <w:proofErr w:type="spellEnd"/>
      <w:r w:rsidRPr="0060022D">
        <w:rPr>
          <w:rFonts w:ascii="Times New Roman" w:eastAsia="Times New Roman" w:hAnsi="Times New Roman" w:cs="Times New Roman"/>
          <w:color w:val="000000"/>
          <w:sz w:val="24"/>
          <w:szCs w:val="24"/>
          <w:lang w:eastAsia="es-AR"/>
        </w:rPr>
        <w:t>, resulta necesario acreditar: a) la existencia de un daño actual y cierto; b) el factor de atribución o falta de servicio; c) relación de causalidad directa e inmediata entre el accionar y el daño; d) posibilidad de imputar jurídicamente esos daños al Estado.</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falta de servicio se configura cuando se prueba una violación o anormalidad en la prestación regular del servicio público, imputable al órgano.</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responsabilidad estatal por omisión procede cuando se incumple una obligación jurídica expresa o implícita de actuar positivamente. La obligación debe estar contenida en una norma y no consistir en un deber “genérico o difuso”.</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ejercicio del poder de policía de seguridad que corresponde al Estado, no resulta suficiente para atribuirle responsabilidad en un evento en el cual ninguno de sus órganos o dependencias tuvo parte. Debe demostrarse el constante incumplimiento del </w:t>
      </w:r>
      <w:proofErr w:type="spellStart"/>
      <w:r w:rsidRPr="0060022D">
        <w:rPr>
          <w:rFonts w:ascii="Times New Roman" w:eastAsia="Times New Roman" w:hAnsi="Times New Roman" w:cs="Times New Roman"/>
          <w:color w:val="000000"/>
          <w:sz w:val="24"/>
          <w:szCs w:val="24"/>
          <w:lang w:eastAsia="es-AR"/>
        </w:rPr>
        <w:t>ejercio</w:t>
      </w:r>
      <w:proofErr w:type="spellEnd"/>
      <w:r w:rsidRPr="0060022D">
        <w:rPr>
          <w:rFonts w:ascii="Times New Roman" w:eastAsia="Times New Roman" w:hAnsi="Times New Roman" w:cs="Times New Roman"/>
          <w:color w:val="000000"/>
          <w:sz w:val="24"/>
          <w:szCs w:val="24"/>
          <w:lang w:eastAsia="es-AR"/>
        </w:rPr>
        <w:t xml:space="preserve"> del poder de policía o de las diligencias de control exigibles en atención a las circunstancias en que aconteció el hecho dañoso, o la falta de entidad de las medidas adoptadas, pues lo contrario importaría extender sin límites el deber de indemnizar todo daño injusto que el Estado no haya podido evitar, o cualquier otro que produzca un particular infringiendo una norma.</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No basta la deficiencia o falta del servicio, es trascendental el análisis de la relación causal entre ésta y el daño sufrido por el particular.</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 el caso, el juez de primera instancia ha condenado al Estado por la falta de servicio por la deficiente prestación del servicio de seguridad vial.</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La policía de tránsito tenía pleno conocimiento de que el señor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habitualmente conducía altamente alcoholizado, lo que le imponía, ante la innegable previsibilidad de que en tales circunstancias provocara daños, tomar todas las acciones a su alcance para evitar que aquello previsible se tornara en concreta realidad.</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En un período de poco más de cuatro años, el señor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fue encontrado conduciendo bajo los efectos del alcohol en siete ocasiones. El deber de actuar del Estado no podría calificarse de genérico o difuso, sino que era claramente concreto.</w:t>
      </w:r>
    </w:p>
    <w:p w:rsidR="0060022D" w:rsidRPr="0060022D" w:rsidRDefault="0060022D" w:rsidP="0060022D">
      <w:pPr>
        <w:numPr>
          <w:ilvl w:val="0"/>
          <w:numId w:val="1"/>
        </w:num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La recurrente insiste en que sus agentes hicieron todo lo que la ley les permitía hacer e insiste en que no tenía herramientas legales para coartar la libertad de circulación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Sin embargo, </w:t>
      </w:r>
      <w:proofErr w:type="spellStart"/>
      <w:r w:rsidRPr="0060022D">
        <w:rPr>
          <w:rFonts w:ascii="Times New Roman" w:eastAsia="Times New Roman" w:hAnsi="Times New Roman" w:cs="Times New Roman"/>
          <w:color w:val="000000"/>
          <w:sz w:val="24"/>
          <w:szCs w:val="24"/>
          <w:lang w:eastAsia="es-AR"/>
        </w:rPr>
        <w:t>aún</w:t>
      </w:r>
      <w:proofErr w:type="spellEnd"/>
      <w:r w:rsidRPr="0060022D">
        <w:rPr>
          <w:rFonts w:ascii="Times New Roman" w:eastAsia="Times New Roman" w:hAnsi="Times New Roman" w:cs="Times New Roman"/>
          <w:color w:val="000000"/>
          <w:sz w:val="24"/>
          <w:szCs w:val="24"/>
          <w:lang w:eastAsia="es-AR"/>
        </w:rPr>
        <w:t xml:space="preserve"> cuando en ello se le reconozca razón y se concluya que toda la normativa y reglamentación de carácter vial fue cumplida de la mejor manera posible, en el caso concreto del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existe una omisión concreta que el juez de grado le imputa a la Administración: no haber denunciado a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ante la Justicia de Faltas, la que sí tenía normas y herramientas idóneas para evitar que el ciudadano infractor persistiera en sus conductas potencialmente dañosas.</w:t>
      </w:r>
    </w:p>
    <w:p w:rsidR="0060022D" w:rsidRPr="0060022D" w:rsidRDefault="0060022D" w:rsidP="0060022D">
      <w:pPr>
        <w:numPr>
          <w:ilvl w:val="0"/>
          <w:numId w:val="1"/>
        </w:num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Tal omisión reúne los caracteres necesarios para ser calificada de antijurídica.</w:t>
      </w:r>
    </w:p>
    <w:p w:rsidR="0060022D" w:rsidRPr="0060022D" w:rsidRDefault="0060022D" w:rsidP="0060022D">
      <w:pPr>
        <w:numPr>
          <w:ilvl w:val="0"/>
          <w:numId w:val="1"/>
        </w:num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Código de Faltas provincial (Ley 3365) vigente durante todos los años en los que se desplegó reiteradamente la conducta ilícita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frente a los ojos de la Administración, preveía en su art. 65 la figura de la "ebriedad habitual", supuesto para el que disponía además de la pena pertinente, su internación en un establecimiento adecuado a los fines de su debido tratamiento, hasta un plazo máximo de noventa días.</w:t>
      </w:r>
    </w:p>
    <w:p w:rsidR="0060022D" w:rsidRPr="0060022D" w:rsidRDefault="0060022D" w:rsidP="0060022D">
      <w:pPr>
        <w:numPr>
          <w:ilvl w:val="0"/>
          <w:numId w:val="1"/>
        </w:num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deber de realizar la denuncia ante el Juez de Faltas era para los agentes de la </w:t>
      </w:r>
      <w:proofErr w:type="spellStart"/>
      <w:r w:rsidRPr="0060022D">
        <w:rPr>
          <w:rFonts w:ascii="Times New Roman" w:eastAsia="Times New Roman" w:hAnsi="Times New Roman" w:cs="Times New Roman"/>
          <w:color w:val="000000"/>
          <w:sz w:val="24"/>
          <w:szCs w:val="24"/>
          <w:lang w:eastAsia="es-AR"/>
        </w:rPr>
        <w:t>policia</w:t>
      </w:r>
      <w:proofErr w:type="spellEnd"/>
      <w:r w:rsidRPr="0060022D">
        <w:rPr>
          <w:rFonts w:ascii="Times New Roman" w:eastAsia="Times New Roman" w:hAnsi="Times New Roman" w:cs="Times New Roman"/>
          <w:color w:val="000000"/>
          <w:sz w:val="24"/>
          <w:szCs w:val="24"/>
          <w:lang w:eastAsia="es-AR"/>
        </w:rPr>
        <w:t xml:space="preserve"> vial una obligación concreta y expresamente consagrada legalmente a su cargo. Ello surge del Estatuto de la Policía de Mendoza, Ley 6722. El art. 19 dispone entre las funciones de las Policías Distritales de Seguridad, la de comunicar inmediatamente a la autoridad judicial los delitos y faltas que llegaren a su conocimiento a fin de tomar la intervención que le compete.</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Los agentes estatales que, a raíz de sus funciones propias como miembros de la Policía Vial tomaron efectivo conocimiento de la reiteración de conductas ilícitas por parte del señor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estaban obligados en forma expresa a efectuar la denuncia ante la Justicia de Faltas, siendo resorte de ella no sólo sancionar al infractor con penas más gravosas, sino someterlo compulsivamente a un tratamiento de rehabilitación.</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falta de servicio no basta por sí sola para obligar al Estado a responder, sino que debe quedar suficientemente acreditada la relación de causalidad entre ésta y el daño cuya reparación se pretende.</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Si los agentes estatales que tenían pleno conocimiento de que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conducía habitualmente en grave estado de ebriedad hubieran hecho la denuncia pertinente ante el Juzgado de Faltas para que se aplicara el art. 65, seguramente el magistrado hubiera requerido dictamen del CMF. Es altamente probable que el magistrado ordenase la internación compulsiva con fines terapéuticos, tratamiento del que era dable esperar resultados favorables. De haberse hecho ello, para la fecha del hecho, o bien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estaría bajo tratamiento, con lo cual no podría haber estado conduciendo en la vía pública, o si ya estaba concluido, era previsible esperar que no condujera esa noche alcoholizado.</w:t>
      </w:r>
    </w:p>
    <w:p w:rsidR="0060022D" w:rsidRPr="0060022D" w:rsidRDefault="0060022D" w:rsidP="0060022D">
      <w:pPr>
        <w:numPr>
          <w:ilvl w:val="0"/>
          <w:numId w:val="1"/>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En conclusión, confirma la condena contra el Estado Provincial y el demandado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elevando el monto a la suma de $ 26.000.000.</w:t>
      </w:r>
    </w:p>
    <w:p w:rsidR="0060022D" w:rsidRPr="0060022D" w:rsidRDefault="0060022D" w:rsidP="0060022D">
      <w:pPr>
        <w:numPr>
          <w:ilvl w:val="3"/>
          <w:numId w:val="2"/>
        </w:num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 contra de esta sentencia, la Provincia de Mendoza interpone Recurso Extraordinario Provincial ante esta Sede.</w:t>
      </w:r>
    </w:p>
    <w:p w:rsidR="0060022D" w:rsidRPr="0060022D" w:rsidRDefault="0060022D" w:rsidP="0060022D">
      <w:pPr>
        <w:spacing w:before="100" w:beforeAutospacing="1" w:after="115" w:line="300" w:lineRule="atLeast"/>
        <w:ind w:left="360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II- </w:t>
      </w:r>
      <w:r w:rsidRPr="0060022D">
        <w:rPr>
          <w:rFonts w:ascii="Times New Roman" w:eastAsia="Times New Roman" w:hAnsi="Times New Roman" w:cs="Times New Roman"/>
          <w:b/>
          <w:bCs/>
          <w:color w:val="000000"/>
          <w:sz w:val="24"/>
          <w:szCs w:val="24"/>
          <w:u w:val="single"/>
          <w:lang w:eastAsia="es-AR"/>
        </w:rPr>
        <w:t>ACTUACIÓN EN ESTA INSTANCIA.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a) Agravios de la recurrente.</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Provincia solicita la revocación de la condena recaída en su contra por considerar que la sentencia dictada por la Cámara de Apelaciones resulta arbitraria e incongruente.</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Sostiene que la sentencia incurre en autocontradicción ya que no puede demostrar la falta concreta en el ejercicio regular del servicio de seguridad y refiere a una norma que corresponde a un deber genérico.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Cámara no supera el umbral de atribuir responsabilidad a la Provincia en base al incumplimiento de un deber genérico de evitar la conducción de vehículos bajo los efectos del alcohol. La remisión a las Leyes 6722 y 6721 no cumple el cometido de encontrar una norma expresa. Agrega que el Estatuto de Policía no contiene normas operativas, sino que establece normas generales. Tales normas establecen preceptos genéricos, difusos, por lo que no puede la Cámara argumentar que tal omisión jurídica resulta relevante y suficiente para sostener la falta del servicio de seguridad.</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Agrega que respecto a la internación compulsiva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se aplica una ley nacional, de jerarquía superior a la citada por la Cámara y vigente a la fecha de los hechos (Ley 26657), la que ha sido omitida en la sentencia. El artículo 20 de la Ley 26657 dispone que la internación involuntaria de una persona debe concebirse como recurso terapéutico excepcional.</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Señala que debe tenerse en cuenta que el actual Código de Contravenciones Ley 9009 y la vigente Ley de Tránsito 9024, actualizada por Ley 9185 no prevén el sometimiento de los conductores alcohólicos a tratamientos médicos compulsivos, como tampoco el previo dictamen del Cuerpo Médico Forense.</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Sostiene que el análisis de la relación de causalidad realizado por la Cámara es conjetural e hipotético, siendo arbitraria la sentencia que se funda en el mismo. Agrega que es arbitraria la sentencia que en su análisis retrospectivo de probabilidad, considera suficiente cumplir con la manda de denunciar el hecho ante la justicia de faltas para evitar el daño. Tampoco dice la Cámara cuándo debía realizarse la denuncia, si en el año 2014, 2015 o 2016 para que esté internado mientras acontecen los hechos.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Solicita, en consecuencia, la revocación de la sentencia dictada.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b) Contestación de los actores recurridos.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Los actores solicitan el rechazo del recurso deducido y la confirmación de la sentencia de Cámara.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Manifiestan que en el caso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el Estado es responsable, porque ha habido conducta antijurídica en sus órganos y ello ha ocasionado el daño, existiendo una relación directa de causalidad.</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Agregan que no correspondía aplicar en el caso la Ley Nacional de Salud Mental, 26657, vigente a la fecha de los hechos, como lo pretende la recurrente, tratándose de un planteo novedoso no introducido en las instancias inferiores. La normativa aplicable al caso no es otra que la consignada en los fallos precedentes, Ley de Tránsito N° 6082 con sus modificaciones, como el Código de Faltas en sus arts. 61 y siguientes, especialmente el art. 65.</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Señalan que la sentencia no incurre en autocontradicción. En los considerandos de la sentencia, se desarrolla ampliamente por qué existía una obligación del Estado Provincial de tomar medidas contra la peligrosidad del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quien no era un desconocido para el Estado ni su peligrosidad era una sospecha, sino una certeza. El Gobierno de la Provincia no logra conmover el decisorio en cuanto no justifica por qué no tomó medidas concretas frente al accionar peligroso y claramente ilegal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Consideran que la principal falencia del Estado es no poder justificar por qué no tomó recaudos frente a la conducción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quien ocho veces fue infraccionado por la Policía de Mendoza por conducir bajo los efectos de alcohol en grados que superan ampliamente los permitidos y que denotan que representaba una peligrosidad para los demás ciudadanos y la seguridad pública. No es admisible que, en un estado de derecho, el encargado de la seguridad pública se limite a aplicar el mismo método todas las veces frente a gravísimas y reiteradas infracciones: contra el pago de la multa, devolver el carnet y habilitar la conducción. Ni siquiera, intentó conocer si era un ebrio habitual o no, ya que no instó ninguna acción que permitiera someter a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al Cuerpo Médico Forense.</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Señalan que es inadmisible que el Estado pueda fundamentar que no tomó medidas porque no había una norma concreta, o porque todas las normas existentes son genéricas y difusas. La responsabilidad estatal también se configura por carecer de normas para proteger los derechos de los ciudadanos.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En cuanto a la relación de causalidad, sostienen que una persona que fue infraccionada ocho veces por ebriedad, cuando existía una Res. 230/08 del Ministerio de Seguridad, seguramente no hubiera ocasionado el accidente de haberle obligado a realizar el tratamiento correspondiente. Esto lo reconoció el testigo Ayala, Jefe de la Unidad de Resoluciones Viales. Lo que se exige del Estado no es evitar el hecho dañoso a la joven Candela, sino que debió prever el accionar peligroso del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ante la cantidad de infracciones por alcohol y la negativa a concurrir al Hospital a realizarse los tratamientos. Es éste el reproche, por su impotencia para tomar medidas frente a eventos sumamente peligrosos para la vida y seguridad de las personas, máxime cuando esta impotencia no obedeció a</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causas justificables, sino que el Estado ha demostrado en la causa que no tuvo una sola razón valedera para justificar la conducción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la que se realizó con la aquiescencia estatal en todas las ocasiones que se le restituyó el carnet de conducir sin control alguno.</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Agregan que el Estado sostiene que no hay en la causa pruebas que permitan presumir que, de haber existido la denuncia al Juez de Faltas, el evento no se hubiera producido. Esta prueba debiera haberla producido el recurrente, quien tiene todos los medios y recursos para acreditar cómo sus herramientas jurídicas y legales no hubiesen sido útiles contra el accionar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por qué no valía la pena elevar su caso al juez de faltas.</w:t>
      </w:r>
    </w:p>
    <w:p w:rsidR="0060022D" w:rsidRPr="0060022D" w:rsidRDefault="0060022D" w:rsidP="0060022D">
      <w:pPr>
        <w:numPr>
          <w:ilvl w:val="3"/>
          <w:numId w:val="3"/>
        </w:num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 xml:space="preserve">Contestación del codemandado Hugo </w:t>
      </w:r>
      <w:proofErr w:type="spellStart"/>
      <w:r w:rsidRPr="0060022D">
        <w:rPr>
          <w:rFonts w:ascii="Times New Roman" w:eastAsia="Times New Roman" w:hAnsi="Times New Roman" w:cs="Times New Roman"/>
          <w:b/>
          <w:bCs/>
          <w:color w:val="000000"/>
          <w:sz w:val="24"/>
          <w:szCs w:val="24"/>
          <w:lang w:eastAsia="es-AR"/>
        </w:rPr>
        <w:t>Scollo</w:t>
      </w:r>
      <w:proofErr w:type="spellEnd"/>
      <w:r w:rsidRPr="0060022D">
        <w:rPr>
          <w:rFonts w:ascii="Times New Roman" w:eastAsia="Times New Roman" w:hAnsi="Times New Roman" w:cs="Times New Roman"/>
          <w:b/>
          <w:bCs/>
          <w:color w:val="000000"/>
          <w:sz w:val="24"/>
          <w:szCs w:val="24"/>
          <w:lang w:eastAsia="es-AR"/>
        </w:rPr>
        <w:t>.</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codemandado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manifiesta que está de acuerdo con todo lo expresado en el Recurso Extraordinario Provincial interpuesto por la Provincia de Mendoza, especialmente, en lo tocante a la nulidad del fallo de Cámara, por falta de debida fundamentación. Señala que dicho fallo es el resultado de haber omitido el tratamiento de agravios que fueron planteados por su parte, y no fueron siquiera considerados, lo que justifica sea declarado nulo, y remitido al subrogante legal, a fin de que dicte un fallo conforme a lo actuado y a los agravios planteados contra la sentencia de primera instancia.</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Refiere que la Cámara omitió el tratamiento y consideración de los agravios de su parte referidos a los excesivos montos otorgados en la sentencia a la parte actora, los que ocasionan un enriquecimiento ilícito o </w:t>
      </w:r>
      <w:proofErr w:type="spellStart"/>
      <w:r w:rsidRPr="0060022D">
        <w:rPr>
          <w:rFonts w:ascii="Times New Roman" w:eastAsia="Times New Roman" w:hAnsi="Times New Roman" w:cs="Times New Roman"/>
          <w:color w:val="000000"/>
          <w:sz w:val="24"/>
          <w:szCs w:val="24"/>
          <w:lang w:eastAsia="es-AR"/>
        </w:rPr>
        <w:t>incausado</w:t>
      </w:r>
      <w:proofErr w:type="spellEnd"/>
      <w:r w:rsidRPr="0060022D">
        <w:rPr>
          <w:rFonts w:ascii="Times New Roman" w:eastAsia="Times New Roman" w:hAnsi="Times New Roman" w:cs="Times New Roman"/>
          <w:color w:val="000000"/>
          <w:sz w:val="24"/>
          <w:szCs w:val="24"/>
          <w:lang w:eastAsia="es-AR"/>
        </w:rPr>
        <w:t xml:space="preserve">, a costa del deudor, porque si bien es cierto que todo daño debe ser indemnizado, ello no debe llevar a que la indemnización constituya una fuente de enriquecimiento injustificado o </w:t>
      </w:r>
      <w:proofErr w:type="spellStart"/>
      <w:r w:rsidRPr="0060022D">
        <w:rPr>
          <w:rFonts w:ascii="Times New Roman" w:eastAsia="Times New Roman" w:hAnsi="Times New Roman" w:cs="Times New Roman"/>
          <w:color w:val="000000"/>
          <w:sz w:val="24"/>
          <w:szCs w:val="24"/>
          <w:lang w:eastAsia="es-AR"/>
        </w:rPr>
        <w:t>incausado</w:t>
      </w:r>
      <w:proofErr w:type="spellEnd"/>
      <w:r w:rsidRPr="0060022D">
        <w:rPr>
          <w:rFonts w:ascii="Times New Roman" w:eastAsia="Times New Roman" w:hAnsi="Times New Roman" w:cs="Times New Roman"/>
          <w:color w:val="000000"/>
          <w:sz w:val="24"/>
          <w:szCs w:val="24"/>
          <w:lang w:eastAsia="es-AR"/>
        </w:rPr>
        <w:t xml:space="preserve"> para la parte actora.</w:t>
      </w:r>
    </w:p>
    <w:p w:rsidR="0060022D" w:rsidRPr="0060022D" w:rsidRDefault="0060022D" w:rsidP="0060022D">
      <w:pPr>
        <w:numPr>
          <w:ilvl w:val="3"/>
          <w:numId w:val="4"/>
        </w:num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Posición de la Sra. Asesora de Menores interviniente.</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Sra. Asesora de Menores interviniente al momento de contestar la vista conferida por este Tribunal, manifiesta que efectúa el control de legalidad pertinente y adhiere en todas sus partes a la contestación presentada por la parte actora.</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e) Dictamen de la Procuración General del Tribunal.</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Procuración General del Tribunal considera que el recurso extraordinario interpuesto por la Provincia de Mendoza debe prosperar. Considera que no ha existido incumplimiento de obligación jurídica expresa o implícita de actuar positivamente, que genere responsabilidad del Estado por falta de servicio.</w:t>
      </w:r>
    </w:p>
    <w:p w:rsidR="0060022D" w:rsidRPr="0060022D" w:rsidRDefault="0060022D" w:rsidP="0060022D">
      <w:pPr>
        <w:spacing w:before="100" w:beforeAutospacing="1" w:after="0" w:line="300" w:lineRule="atLeast"/>
        <w:ind w:firstLine="1267"/>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Agrega que la normativa citada en la sentencia recurrida, Resolución N° 230/08 del Ministerio de Seguridad (agregada en copia a fs. 1085) que disponía que el infractor en caso de ebriedad debía someterse a una Junta Médica que determine si su estado es circunstancial o presentaba enfermedad, fue aplicada hasta su derogación. Mediante Resolución N° 1966/16 (agregada en copia a fs. 1090), se deja sin efecto la Resolución N° 230/08, por considerar que la plataforma fáctica de la Ley de Tránsito que rige en la Provincia de Mendoza no establece obligatoriedad alguna para que infractores tipificados bajo la figura de la</w:t>
      </w:r>
    </w:p>
    <w:p w:rsidR="0060022D" w:rsidRPr="0060022D" w:rsidRDefault="0060022D" w:rsidP="0060022D">
      <w:pPr>
        <w:spacing w:before="100" w:beforeAutospacing="1" w:after="0"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alcoholización no permitida deban realizar estudios que pongan en reserva la habilitación como conductor, no siendo parte de ningún tipo de pena (cfr. Texto Resolución N° 1966/16).</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Concluye así que al no haber existido por parte de la demandada incumplimiento normativo no surge la responsabilidad del Estado por omisión.</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III.- </w:t>
      </w:r>
      <w:r w:rsidRPr="0060022D">
        <w:rPr>
          <w:rFonts w:ascii="Times New Roman" w:eastAsia="Times New Roman" w:hAnsi="Times New Roman" w:cs="Times New Roman"/>
          <w:b/>
          <w:bCs/>
          <w:color w:val="000000"/>
          <w:sz w:val="24"/>
          <w:szCs w:val="24"/>
          <w:u w:val="single"/>
          <w:lang w:eastAsia="es-AR"/>
        </w:rPr>
        <w:t>LA CUESTIÓN A RESOLVER.</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cuestión a resolver en la presente causa consiste en determinar si resulta arbitraria o normativamente incorrecta la sentencia que condena al Estado provincial por los daños sufridos por una joven - y su familia - que fue atropellada por un conductor a quien en reiteradas oportunidades la autoridad vial lo encontró conduciendo en estado de ebriedad. Las sentencias de grado han considerado acreditados los presupuestos de la responsabilidad estatal por omisión ilegítima.</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IV.- </w:t>
      </w:r>
      <w:r w:rsidRPr="0060022D">
        <w:rPr>
          <w:rFonts w:ascii="Times New Roman" w:eastAsia="Times New Roman" w:hAnsi="Times New Roman" w:cs="Times New Roman"/>
          <w:b/>
          <w:bCs/>
          <w:color w:val="000000"/>
          <w:sz w:val="24"/>
          <w:szCs w:val="24"/>
          <w:u w:val="single"/>
          <w:lang w:eastAsia="es-AR"/>
        </w:rPr>
        <w:t>SOLUCIÓN AL CASO.</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Tal como surge del relato de la causa y de los agravios deducidos ante esta Sede, lo único que debe resolver este Tribunal se circunscribe a la responsabilidad que le ha sido atribuida al Estado provincial por la omisión ilegítima en la que habría incurrido ante la falta de servicio por la deficiente prestación del servicio de seguridad vial.</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Con ello resulta oportuno aclarar que no puede resultar objeto de análisis la responsabilidad atribuida al </w:t>
      </w:r>
      <w:proofErr w:type="spellStart"/>
      <w:r w:rsidRPr="0060022D">
        <w:rPr>
          <w:rFonts w:ascii="Times New Roman" w:eastAsia="Times New Roman" w:hAnsi="Times New Roman" w:cs="Times New Roman"/>
          <w:color w:val="000000"/>
          <w:sz w:val="24"/>
          <w:szCs w:val="24"/>
          <w:lang w:eastAsia="es-AR"/>
        </w:rPr>
        <w:t>codemando</w:t>
      </w:r>
      <w:proofErr w:type="spellEnd"/>
      <w:r w:rsidRPr="0060022D">
        <w:rPr>
          <w:rFonts w:ascii="Times New Roman" w:eastAsia="Times New Roman" w:hAnsi="Times New Roman" w:cs="Times New Roman"/>
          <w:color w:val="000000"/>
          <w:sz w:val="24"/>
          <w:szCs w:val="24"/>
          <w:lang w:eastAsia="es-AR"/>
        </w:rPr>
        <w:t xml:space="preserve">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ni los montos de condena que han sido fijados, por cuanto a su respecto, la sentencia ha quedado firme frente a la ausencia de agravios deducidos ante este Tribunal. De tal modo, su pretensión de adherir al recurso interpuesto por la Provincia de Mendoza, solicitar la nulidad del pronunciamiento de alzada y la revisión de las sumas concedidas a los actores en concepto de indemnización, no puede tener andamiaje alguno por cuanto, es criterio de este Tribunal que “la adhesión a los recursos extraordinarios no existe en el sistema procesal mendocino, por lo que este Superior Tribunal no los puede tener en consideración” (LS 361-229).</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Dicho lo expuesto, ingresaré en el abordaje de la responsabilidad que ha sido </w:t>
      </w:r>
      <w:proofErr w:type="spellStart"/>
      <w:r w:rsidRPr="0060022D">
        <w:rPr>
          <w:rFonts w:ascii="Times New Roman" w:eastAsia="Times New Roman" w:hAnsi="Times New Roman" w:cs="Times New Roman"/>
          <w:color w:val="000000"/>
          <w:sz w:val="24"/>
          <w:szCs w:val="24"/>
          <w:lang w:eastAsia="es-AR"/>
        </w:rPr>
        <w:t>atribuída</w:t>
      </w:r>
      <w:proofErr w:type="spellEnd"/>
      <w:r w:rsidRPr="0060022D">
        <w:rPr>
          <w:rFonts w:ascii="Times New Roman" w:eastAsia="Times New Roman" w:hAnsi="Times New Roman" w:cs="Times New Roman"/>
          <w:color w:val="000000"/>
          <w:sz w:val="24"/>
          <w:szCs w:val="24"/>
          <w:lang w:eastAsia="es-AR"/>
        </w:rPr>
        <w:t xml:space="preserve"> a la recurrente.</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origen de estas actuaciones se encuentra en el lamentable suceso en el cual la joven Candela </w:t>
      </w:r>
      <w:proofErr w:type="spellStart"/>
      <w:r w:rsidRPr="0060022D">
        <w:rPr>
          <w:rFonts w:ascii="Times New Roman" w:eastAsia="Times New Roman" w:hAnsi="Times New Roman" w:cs="Times New Roman"/>
          <w:color w:val="000000"/>
          <w:sz w:val="24"/>
          <w:szCs w:val="24"/>
          <w:lang w:eastAsia="es-AR"/>
        </w:rPr>
        <w:t>Gimenez</w:t>
      </w:r>
      <w:proofErr w:type="spellEnd"/>
      <w:r w:rsidRPr="0060022D">
        <w:rPr>
          <w:rFonts w:ascii="Times New Roman" w:eastAsia="Times New Roman" w:hAnsi="Times New Roman" w:cs="Times New Roman"/>
          <w:color w:val="000000"/>
          <w:sz w:val="24"/>
          <w:szCs w:val="24"/>
          <w:lang w:eastAsia="es-AR"/>
        </w:rPr>
        <w:t xml:space="preserve"> fue atropellada por un vehículo conducido por 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en supuesto estado de ebriedad, dejándola con graves secuelas incapacitantes.</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Las circunstancias de lugar y modo del accidente no se encuentran discutidas. Tampoco existe controversia respecto a los antecedentes del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que ponen en evidencia que en un lapso de apenas cuatro años (desde el 2013 al 2016) fue sorprendido en siete oportunidades conduciendo en estado de ebriedad.</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hecho de que haya podido seguir conduciendo, frente al reintegro de su licencia de conducir en cada oportunidad, es lo que motiva a la sentencia de alzada a condenar a la Provincia de Mendoza, por cuanto considera que si bien el Estado no puede responder frente al incumplimiento de un deber genérico de evitar la conducción de vehículos bajo los efectos del alcohol, lo cierto es que, en el caso, existió una omisión concreta al no denunciar al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ante la Justicia de Faltas, la que contaba con normas y herramientas idóneas.</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Así, la Cámara considera que los agentes de la Policía Vial tenían la obligación concreta y expresa de denunciar a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ante la justicia de Faltas, conforme lo dispone el Estatuto de la Policía de Mendoza, Ley 6722. El no hacerlo constituyó, en el caso, la falta de servicio </w:t>
      </w:r>
      <w:proofErr w:type="spellStart"/>
      <w:r w:rsidRPr="0060022D">
        <w:rPr>
          <w:rFonts w:ascii="Times New Roman" w:eastAsia="Times New Roman" w:hAnsi="Times New Roman" w:cs="Times New Roman"/>
          <w:color w:val="000000"/>
          <w:sz w:val="24"/>
          <w:szCs w:val="24"/>
          <w:lang w:eastAsia="es-AR"/>
        </w:rPr>
        <w:t>atribuíble</w:t>
      </w:r>
      <w:proofErr w:type="spellEnd"/>
      <w:r w:rsidRPr="0060022D">
        <w:rPr>
          <w:rFonts w:ascii="Times New Roman" w:eastAsia="Times New Roman" w:hAnsi="Times New Roman" w:cs="Times New Roman"/>
          <w:color w:val="000000"/>
          <w:sz w:val="24"/>
          <w:szCs w:val="24"/>
          <w:lang w:eastAsia="es-AR"/>
        </w:rPr>
        <w:t xml:space="preserve"> al Estado, la que conforme razonan los jueces de grado, tuvo relación de causalidad adecuada con el evento dañoso.</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Estos argumentos son los que resiste en esta instancia la provincia condenada, tanto la omisión concreta que se le </w:t>
      </w:r>
      <w:proofErr w:type="spellStart"/>
      <w:r w:rsidRPr="0060022D">
        <w:rPr>
          <w:rFonts w:ascii="Times New Roman" w:eastAsia="Times New Roman" w:hAnsi="Times New Roman" w:cs="Times New Roman"/>
          <w:color w:val="000000"/>
          <w:sz w:val="24"/>
          <w:szCs w:val="24"/>
          <w:lang w:eastAsia="es-AR"/>
        </w:rPr>
        <w:t>aribuye</w:t>
      </w:r>
      <w:proofErr w:type="spellEnd"/>
      <w:r w:rsidRPr="0060022D">
        <w:rPr>
          <w:rFonts w:ascii="Times New Roman" w:eastAsia="Times New Roman" w:hAnsi="Times New Roman" w:cs="Times New Roman"/>
          <w:color w:val="000000"/>
          <w:sz w:val="24"/>
          <w:szCs w:val="24"/>
          <w:lang w:eastAsia="es-AR"/>
        </w:rPr>
        <w:t xml:space="preserve"> a la obligación de denunciar al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ante la Justicia de Faltas, como el hecho de que tal omisión pueda tener relación de causalidad adecuada con los daños sufridos por los actores.</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Ingresaré entonces en el análisis de los agravios planteados, adelantando opinión en el sentido que comparto los argumentos puestos de manifiesto en el dictamen de la Procuración General del Tribunal y en virtud de los cuales corresponde hacer lugar a la queja deducida.</w:t>
      </w:r>
    </w:p>
    <w:p w:rsidR="0060022D" w:rsidRPr="0060022D" w:rsidRDefault="0060022D" w:rsidP="0060022D">
      <w:pPr>
        <w:spacing w:before="100" w:beforeAutospacing="1" w:after="0" w:line="300" w:lineRule="atLeast"/>
        <w:ind w:firstLine="1282"/>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a) Derecho Transitorio.</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Antes de comenzar con el análisis de lo que constituye materia de agravios ante esta Sede, estimo necesario efectuar algunas consideraciones respecto al marco normativo conforme al cual debe resolverse la presente cuestión, teniendo en cuenta la fecha en la que ocurrió el hecho lesivo, la persona demandada y las leyes vigentes en dicho momento.</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El hecho generador del daño que se describe en la demanda tuvo lugar el día 29 de octubre de 2016, ya vigente el Código Civil y Comercial de la Nación.</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val="es-ES" w:eastAsia="es-AR"/>
        </w:rPr>
        <w:t xml:space="preserve">El art. 1765 </w:t>
      </w:r>
      <w:proofErr w:type="spellStart"/>
      <w:r w:rsidRPr="0060022D">
        <w:rPr>
          <w:rFonts w:ascii="Times New Roman" w:eastAsia="Times New Roman" w:hAnsi="Times New Roman" w:cs="Times New Roman"/>
          <w:color w:val="000000"/>
          <w:sz w:val="24"/>
          <w:szCs w:val="24"/>
          <w:lang w:val="es-ES" w:eastAsia="es-AR"/>
        </w:rPr>
        <w:t>CcyCN</w:t>
      </w:r>
      <w:proofErr w:type="spellEnd"/>
      <w:r w:rsidRPr="0060022D">
        <w:rPr>
          <w:rFonts w:ascii="Times New Roman" w:eastAsia="Times New Roman" w:hAnsi="Times New Roman" w:cs="Times New Roman"/>
          <w:color w:val="000000"/>
          <w:sz w:val="24"/>
          <w:szCs w:val="24"/>
          <w:lang w:val="es-ES" w:eastAsia="es-AR"/>
        </w:rPr>
        <w:t xml:space="preserve"> dispone en forma expresa que “la responsabilidad del Estado se rige por las normas y principios del derecho administrativo nacional o local según corresponda”. En el mismo sentido, el art. 1764 </w:t>
      </w:r>
      <w:proofErr w:type="spellStart"/>
      <w:r w:rsidRPr="0060022D">
        <w:rPr>
          <w:rFonts w:ascii="Times New Roman" w:eastAsia="Times New Roman" w:hAnsi="Times New Roman" w:cs="Times New Roman"/>
          <w:color w:val="000000"/>
          <w:sz w:val="24"/>
          <w:szCs w:val="24"/>
          <w:lang w:val="es-ES" w:eastAsia="es-AR"/>
        </w:rPr>
        <w:t>CcyCN</w:t>
      </w:r>
      <w:proofErr w:type="spellEnd"/>
      <w:r w:rsidRPr="0060022D">
        <w:rPr>
          <w:rFonts w:ascii="Times New Roman" w:eastAsia="Times New Roman" w:hAnsi="Times New Roman" w:cs="Times New Roman"/>
          <w:color w:val="000000"/>
          <w:sz w:val="24"/>
          <w:szCs w:val="24"/>
          <w:lang w:val="es-ES" w:eastAsia="es-AR"/>
        </w:rPr>
        <w:t xml:space="preserve"> establece que “</w:t>
      </w:r>
      <w:r w:rsidRPr="0060022D">
        <w:rPr>
          <w:rFonts w:ascii="Times New Roman" w:eastAsia="Times New Roman" w:hAnsi="Times New Roman" w:cs="Times New Roman"/>
          <w:color w:val="000000"/>
          <w:sz w:val="24"/>
          <w:szCs w:val="24"/>
          <w:lang w:eastAsia="es-AR"/>
        </w:rPr>
        <w:t>Las disposiciones de este Título no son aplicables a la responsabilidad del Estado, ni de manera directa, ni subsidiaria”.</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Conforme las normas citadas, vigentes al ocurrir el hecho dañoso (art. 7 </w:t>
      </w:r>
      <w:proofErr w:type="spellStart"/>
      <w:r w:rsidRPr="0060022D">
        <w:rPr>
          <w:rFonts w:ascii="Times New Roman" w:eastAsia="Times New Roman" w:hAnsi="Times New Roman" w:cs="Times New Roman"/>
          <w:color w:val="000000"/>
          <w:sz w:val="24"/>
          <w:szCs w:val="24"/>
          <w:lang w:eastAsia="es-AR"/>
        </w:rPr>
        <w:t>CcyCN</w:t>
      </w:r>
      <w:proofErr w:type="spellEnd"/>
      <w:r w:rsidRPr="0060022D">
        <w:rPr>
          <w:rFonts w:ascii="Times New Roman" w:eastAsia="Times New Roman" w:hAnsi="Times New Roman" w:cs="Times New Roman"/>
          <w:color w:val="000000"/>
          <w:sz w:val="24"/>
          <w:szCs w:val="24"/>
          <w:lang w:eastAsia="es-AR"/>
        </w:rPr>
        <w:t>), no resulta posible analizar la responsabilidad del ente estatal demandado bajo la óptica de las normas y reglas contenidas en la legislación civil citada. El propio Código se encarga de sostener lo contrario (art. 1765 citado).</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Ahora bien, la ley local que regula la responsabilidad del Estado provincial y las municipalidades (Ley 8968) se dictó con posterioridad al hecho invocado como generador del daño (mayo de 2017). Por ello, su aplicación al caso queda reducida a la cuantificación del perjuicio y demás consecuencias que hoy puedan establecerse en la sentencia, no así a lo que se vincula con la causa, los factores de atribución, etc.</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Así las cosas, entiendo que debe estarse a las normas y principios del derecho administrativo, aplicando en forma analógica el régimen previsto en la Ley de Responsabilidad del Estado N° 26.944 sancionada el 2 de julio de 2014 y promulgada de hecho el 7 de agosto de 2014, tal como ya lo ha sostenido este Tribunal en anteriores pronunciamientos (Autos </w:t>
      </w:r>
      <w:proofErr w:type="spellStart"/>
      <w:r w:rsidRPr="0060022D">
        <w:rPr>
          <w:rFonts w:ascii="Times New Roman" w:eastAsia="Times New Roman" w:hAnsi="Times New Roman" w:cs="Times New Roman"/>
          <w:color w:val="000000"/>
          <w:sz w:val="24"/>
          <w:szCs w:val="24"/>
          <w:lang w:eastAsia="es-AR"/>
        </w:rPr>
        <w:t>n°</w:t>
      </w:r>
      <w:proofErr w:type="spellEnd"/>
      <w:r w:rsidRPr="0060022D">
        <w:rPr>
          <w:rFonts w:ascii="Times New Roman" w:eastAsia="Times New Roman" w:hAnsi="Times New Roman" w:cs="Times New Roman"/>
          <w:color w:val="000000"/>
          <w:sz w:val="24"/>
          <w:szCs w:val="24"/>
          <w:lang w:eastAsia="es-AR"/>
        </w:rPr>
        <w:t> 13-04170366-5/1, “</w:t>
      </w:r>
      <w:proofErr w:type="spellStart"/>
      <w:r w:rsidRPr="0060022D">
        <w:rPr>
          <w:rFonts w:ascii="Times New Roman" w:eastAsia="Times New Roman" w:hAnsi="Times New Roman" w:cs="Times New Roman"/>
          <w:i/>
          <w:iCs/>
          <w:color w:val="000000"/>
          <w:sz w:val="24"/>
          <w:szCs w:val="24"/>
          <w:lang w:eastAsia="es-AR"/>
        </w:rPr>
        <w:t>Caseres</w:t>
      </w:r>
      <w:proofErr w:type="spellEnd"/>
      <w:r w:rsidRPr="0060022D">
        <w:rPr>
          <w:rFonts w:ascii="Times New Roman" w:eastAsia="Times New Roman" w:hAnsi="Times New Roman" w:cs="Times New Roman"/>
          <w:i/>
          <w:iCs/>
          <w:color w:val="000000"/>
          <w:sz w:val="24"/>
          <w:szCs w:val="24"/>
          <w:lang w:eastAsia="es-AR"/>
        </w:rPr>
        <w:t xml:space="preserve"> Ali...”</w:t>
      </w:r>
      <w:r w:rsidRPr="0060022D">
        <w:rPr>
          <w:rFonts w:ascii="Times New Roman" w:eastAsia="Times New Roman" w:hAnsi="Times New Roman" w:cs="Times New Roman"/>
          <w:color w:val="000000"/>
          <w:sz w:val="24"/>
          <w:szCs w:val="24"/>
          <w:lang w:eastAsia="es-AR"/>
        </w:rPr>
        <w:t>, 09/05/2022; Autos n° 13-04313309-2/1, </w:t>
      </w:r>
      <w:r w:rsidRPr="0060022D">
        <w:rPr>
          <w:rFonts w:ascii="Times New Roman" w:eastAsia="Times New Roman" w:hAnsi="Times New Roman" w:cs="Times New Roman"/>
          <w:i/>
          <w:iCs/>
          <w:color w:val="000000"/>
          <w:sz w:val="24"/>
          <w:szCs w:val="24"/>
          <w:lang w:eastAsia="es-AR"/>
        </w:rPr>
        <w:t>“Silva Mónica”</w:t>
      </w:r>
      <w:r w:rsidRPr="0060022D">
        <w:rPr>
          <w:rFonts w:ascii="Times New Roman" w:eastAsia="Times New Roman" w:hAnsi="Times New Roman" w:cs="Times New Roman"/>
          <w:color w:val="000000"/>
          <w:sz w:val="24"/>
          <w:szCs w:val="24"/>
          <w:lang w:eastAsia="es-AR"/>
        </w:rPr>
        <w:t>, 27/07/2022, entre otros).</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De tal modo, la víctima que pretende responsabilizar al Estado por los daños sufridos debe acreditar, esencialmente, que el daño acaecido encuentra su causa en una falta de servicio </w:t>
      </w:r>
      <w:proofErr w:type="spellStart"/>
      <w:r w:rsidRPr="0060022D">
        <w:rPr>
          <w:rFonts w:ascii="Times New Roman" w:eastAsia="Times New Roman" w:hAnsi="Times New Roman" w:cs="Times New Roman"/>
          <w:color w:val="000000"/>
          <w:sz w:val="24"/>
          <w:szCs w:val="24"/>
          <w:lang w:eastAsia="es-AR"/>
        </w:rPr>
        <w:t>atribuíble</w:t>
      </w:r>
      <w:proofErr w:type="spellEnd"/>
      <w:r w:rsidRPr="0060022D">
        <w:rPr>
          <w:rFonts w:ascii="Times New Roman" w:eastAsia="Times New Roman" w:hAnsi="Times New Roman" w:cs="Times New Roman"/>
          <w:color w:val="000000"/>
          <w:sz w:val="24"/>
          <w:szCs w:val="24"/>
          <w:lang w:eastAsia="es-AR"/>
        </w:rPr>
        <w:t xml:space="preserve"> a aquél, consistente en una actuación u omisión irregular ante la inobservancia de un deber normativo de actuación expreso y determinado.</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Es entonces, dentro de este marco normativo descripto, que debe analizarse si los actores lograron acreditar los supuestos necesarios para comprometer la responsabilidad del Estado demandado.</w:t>
      </w:r>
    </w:p>
    <w:p w:rsidR="0060022D" w:rsidRPr="0060022D" w:rsidRDefault="0060022D" w:rsidP="0060022D">
      <w:pPr>
        <w:spacing w:before="100" w:beforeAutospacing="1" w:after="115" w:line="300" w:lineRule="atLeast"/>
        <w:ind w:firstLine="1238"/>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 xml:space="preserve">b) La omisión ilícita </w:t>
      </w:r>
      <w:proofErr w:type="spellStart"/>
      <w:r w:rsidRPr="0060022D">
        <w:rPr>
          <w:rFonts w:ascii="Times New Roman" w:eastAsia="Times New Roman" w:hAnsi="Times New Roman" w:cs="Times New Roman"/>
          <w:b/>
          <w:bCs/>
          <w:color w:val="000000"/>
          <w:sz w:val="24"/>
          <w:szCs w:val="24"/>
          <w:lang w:eastAsia="es-AR"/>
        </w:rPr>
        <w:t>atribuída</w:t>
      </w:r>
      <w:proofErr w:type="spellEnd"/>
      <w:r w:rsidRPr="0060022D">
        <w:rPr>
          <w:rFonts w:ascii="Times New Roman" w:eastAsia="Times New Roman" w:hAnsi="Times New Roman" w:cs="Times New Roman"/>
          <w:b/>
          <w:bCs/>
          <w:color w:val="000000"/>
          <w:sz w:val="24"/>
          <w:szCs w:val="24"/>
          <w:lang w:eastAsia="es-AR"/>
        </w:rPr>
        <w:t xml:space="preserve"> al Estado provincial.</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Tal como adelanté, el encuadre normativo corresponde efectuarlo acudiendo por analogía a las disposiciones de la Ley Nacional de Responsabilidad del Estado y a los principios y pautas que rigen el derecho administrativo.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Respecto de la responsabilidad del Estado por omisión, antes de la sanción de la Ley 26.944 no existía texto específico que contemplara este supuesto. Coincidían los autores en afirmar que “la clave para determinar la procedencia de la responsabilidad estatal por acto omisivo se encuentra en la configuración o no de una omisión </w:t>
      </w:r>
      <w:proofErr w:type="spellStart"/>
      <w:r w:rsidRPr="0060022D">
        <w:rPr>
          <w:rFonts w:ascii="Times New Roman" w:eastAsia="Times New Roman" w:hAnsi="Times New Roman" w:cs="Times New Roman"/>
          <w:color w:val="000000"/>
          <w:sz w:val="24"/>
          <w:szCs w:val="24"/>
          <w:lang w:eastAsia="es-AR"/>
        </w:rPr>
        <w:t>anitjurídica</w:t>
      </w:r>
      <w:proofErr w:type="spellEnd"/>
      <w:r w:rsidRPr="0060022D">
        <w:rPr>
          <w:rFonts w:ascii="Times New Roman" w:eastAsia="Times New Roman" w:hAnsi="Times New Roman" w:cs="Times New Roman"/>
          <w:color w:val="000000"/>
          <w:sz w:val="24"/>
          <w:szCs w:val="24"/>
          <w:lang w:eastAsia="es-AR"/>
        </w:rPr>
        <w:t xml:space="preserve">, la que se perfila cuando sea razonable esperar que el Estado actúe en determinado sentido para evitar los daños en las personas o en los bienes de los particulares; y que la configuración de tal omisión antijurídica requiere que aquél o sus entidades incumplan una obligación legal expresa o implícita, tal como son las vinculadas con el ejercicio de la policía administrativa, incumplimiento que puede hallarse impuesto también por otras fuentes </w:t>
      </w:r>
      <w:proofErr w:type="spellStart"/>
      <w:r w:rsidRPr="0060022D">
        <w:rPr>
          <w:rFonts w:ascii="Times New Roman" w:eastAsia="Times New Roman" w:hAnsi="Times New Roman" w:cs="Times New Roman"/>
          <w:color w:val="000000"/>
          <w:sz w:val="24"/>
          <w:szCs w:val="24"/>
          <w:lang w:eastAsia="es-AR"/>
        </w:rPr>
        <w:t>jurígenas</w:t>
      </w:r>
      <w:proofErr w:type="spellEnd"/>
      <w:r w:rsidRPr="0060022D">
        <w:rPr>
          <w:rFonts w:ascii="Times New Roman" w:eastAsia="Times New Roman" w:hAnsi="Times New Roman" w:cs="Times New Roman"/>
          <w:color w:val="000000"/>
          <w:sz w:val="24"/>
          <w:szCs w:val="24"/>
          <w:lang w:eastAsia="es-AR"/>
        </w:rPr>
        <w:t>, como lo son por ejemplo la costumbre y los principios generales del derecho” (TRIGO REPRESAS-LÓPEZ MESA, “Tratado de la Responsabilidad Civil”, tomo IV, págs. 120/123).</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Este criterio fue adoptado por este Tribunal en diversos pronunciamientos en los cuales se concluyó que “Sólo el ejercicio regular del derecho de no hacer no provoca responsabilidad del </w:t>
      </w:r>
      <w:proofErr w:type="spellStart"/>
      <w:r w:rsidRPr="0060022D">
        <w:rPr>
          <w:rFonts w:ascii="Times New Roman" w:eastAsia="Times New Roman" w:hAnsi="Times New Roman" w:cs="Times New Roman"/>
          <w:color w:val="000000"/>
          <w:sz w:val="24"/>
          <w:szCs w:val="24"/>
          <w:lang w:eastAsia="es-AR"/>
        </w:rPr>
        <w:t>omitente</w:t>
      </w:r>
      <w:proofErr w:type="spellEnd"/>
      <w:r w:rsidRPr="0060022D">
        <w:rPr>
          <w:rFonts w:ascii="Times New Roman" w:eastAsia="Times New Roman" w:hAnsi="Times New Roman" w:cs="Times New Roman"/>
          <w:color w:val="000000"/>
          <w:sz w:val="24"/>
          <w:szCs w:val="24"/>
          <w:lang w:eastAsia="es-AR"/>
        </w:rPr>
        <w:t>, debiendo responder cuando una obligación legal le impone el deber de hacer o la ley sanciona la acción” (</w:t>
      </w:r>
      <w:proofErr w:type="spellStart"/>
      <w:r w:rsidRPr="0060022D">
        <w:rPr>
          <w:rFonts w:ascii="Times New Roman" w:eastAsia="Times New Roman" w:hAnsi="Times New Roman" w:cs="Times New Roman"/>
          <w:color w:val="000000"/>
          <w:sz w:val="24"/>
          <w:szCs w:val="24"/>
          <w:lang w:eastAsia="es-AR"/>
        </w:rPr>
        <w:t>Expte</w:t>
      </w:r>
      <w:proofErr w:type="spellEnd"/>
      <w:r w:rsidRPr="0060022D">
        <w:rPr>
          <w:rFonts w:ascii="Times New Roman" w:eastAsia="Times New Roman" w:hAnsi="Times New Roman" w:cs="Times New Roman"/>
          <w:color w:val="000000"/>
          <w:sz w:val="24"/>
          <w:szCs w:val="24"/>
          <w:lang w:eastAsia="es-AR"/>
        </w:rPr>
        <w:t>. 45.857 </w:t>
      </w:r>
      <w:r w:rsidRPr="0060022D">
        <w:rPr>
          <w:rFonts w:ascii="Times New Roman" w:eastAsia="Times New Roman" w:hAnsi="Times New Roman" w:cs="Times New Roman"/>
          <w:i/>
          <w:iCs/>
          <w:color w:val="000000"/>
          <w:sz w:val="24"/>
          <w:szCs w:val="24"/>
          <w:lang w:eastAsia="es-AR"/>
        </w:rPr>
        <w:t xml:space="preserve">“Poder Ejecutivo de la Provincia en </w:t>
      </w:r>
      <w:proofErr w:type="spellStart"/>
      <w:r w:rsidRPr="0060022D">
        <w:rPr>
          <w:rFonts w:ascii="Times New Roman" w:eastAsia="Times New Roman" w:hAnsi="Times New Roman" w:cs="Times New Roman"/>
          <w:i/>
          <w:iCs/>
          <w:color w:val="000000"/>
          <w:sz w:val="24"/>
          <w:szCs w:val="24"/>
          <w:lang w:eastAsia="es-AR"/>
        </w:rPr>
        <w:t>j°</w:t>
      </w:r>
      <w:proofErr w:type="spellEnd"/>
      <w:r w:rsidRPr="0060022D">
        <w:rPr>
          <w:rFonts w:ascii="Times New Roman" w:eastAsia="Times New Roman" w:hAnsi="Times New Roman" w:cs="Times New Roman"/>
          <w:i/>
          <w:iCs/>
          <w:color w:val="000000"/>
          <w:sz w:val="24"/>
          <w:szCs w:val="24"/>
          <w:lang w:eastAsia="es-AR"/>
        </w:rPr>
        <w:t xml:space="preserve"> Torres...”</w:t>
      </w:r>
      <w:r w:rsidRPr="0060022D">
        <w:rPr>
          <w:rFonts w:ascii="Times New Roman" w:eastAsia="Times New Roman" w:hAnsi="Times New Roman" w:cs="Times New Roman"/>
          <w:color w:val="000000"/>
          <w:sz w:val="24"/>
          <w:szCs w:val="24"/>
          <w:lang w:eastAsia="es-AR"/>
        </w:rPr>
        <w:t>, 04/04/89, LS 208-161; autos n° 98.081 </w:t>
      </w:r>
      <w:r w:rsidRPr="0060022D">
        <w:rPr>
          <w:rFonts w:ascii="Times New Roman" w:eastAsia="Times New Roman" w:hAnsi="Times New Roman" w:cs="Times New Roman"/>
          <w:i/>
          <w:iCs/>
          <w:color w:val="000000"/>
          <w:sz w:val="24"/>
          <w:szCs w:val="24"/>
          <w:lang w:eastAsia="es-AR"/>
        </w:rPr>
        <w:t>“Blanco Plácido...”</w:t>
      </w:r>
      <w:r w:rsidRPr="0060022D">
        <w:rPr>
          <w:rFonts w:ascii="Times New Roman" w:eastAsia="Times New Roman" w:hAnsi="Times New Roman" w:cs="Times New Roman"/>
          <w:color w:val="000000"/>
          <w:sz w:val="24"/>
          <w:szCs w:val="24"/>
          <w:lang w:eastAsia="es-AR"/>
        </w:rPr>
        <w:t>, 24/08/2011, entre otros).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Corte Federal también impuso la responsabilidad al Estado, no sólo en casos de omisiones a mandatos expresos y determinados en una regla de derecho, “sino en aquellos en los que el Estado está obligado a cumplir una serie de objetivos fijados por la ley sólo de un modo general e indeterminado, como propósitos a lograr en la mejor medida posible...” (CSJN, 21/12/2010, </w:t>
      </w:r>
      <w:r w:rsidRPr="0060022D">
        <w:rPr>
          <w:rFonts w:ascii="Times New Roman" w:eastAsia="Times New Roman" w:hAnsi="Times New Roman" w:cs="Times New Roman"/>
          <w:i/>
          <w:iCs/>
          <w:color w:val="000000"/>
          <w:sz w:val="24"/>
          <w:szCs w:val="24"/>
          <w:lang w:eastAsia="es-AR"/>
        </w:rPr>
        <w:t>“P., E.P y otro c/ Gobierno de la Provincia de Córdoba”</w:t>
      </w:r>
      <w:r w:rsidRPr="0060022D">
        <w:rPr>
          <w:rFonts w:ascii="Times New Roman" w:eastAsia="Times New Roman" w:hAnsi="Times New Roman" w:cs="Times New Roman"/>
          <w:color w:val="000000"/>
          <w:sz w:val="24"/>
          <w:szCs w:val="24"/>
          <w:lang w:eastAsia="es-AR"/>
        </w:rPr>
        <w:t>, Fallos 333: 2426, entre otros).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Actualmente, la Ley 29.944 -a cuyas disposiciones corresponde acudir por analogía conforme lo analicé en forma precedente- dispone en su artículo 3 que “la omisión sólo genera responsabilidad cuando se verifica la inobservancia de un deber normativo de actuación expreso y determinado”. Es decir, la actual legislación agrava los requisitos de procedencia de la responsabilidad del Estado por omisión antijurídica, al exigir la existencia previa de un deber normativo expreso y determinado que resulte incumplido.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Señalan los autores que “La Ley 26.944 ha optado por un criterio exigente al disponer que para que surja la responsabilidad es necesario que se trate de un deber concreto de obrar y no de un deber genérico, es decir que el Estado debe encontrarse en situación de poder ser constreñido al cumplimiento de esa obligación derivada de un deber normativo de actuación expreso y determinado” (ROSATTI Horacio, “Ley 26.944 de Responsabilidad del Estado”, Editorial </w:t>
      </w:r>
      <w:proofErr w:type="spellStart"/>
      <w:r w:rsidRPr="0060022D">
        <w:rPr>
          <w:rFonts w:ascii="Times New Roman" w:eastAsia="Times New Roman" w:hAnsi="Times New Roman" w:cs="Times New Roman"/>
          <w:color w:val="000000"/>
          <w:sz w:val="24"/>
          <w:szCs w:val="24"/>
          <w:lang w:eastAsia="es-AR"/>
        </w:rPr>
        <w:t>Rubinzal-Culzoni</w:t>
      </w:r>
      <w:proofErr w:type="spellEnd"/>
      <w:r w:rsidRPr="0060022D">
        <w:rPr>
          <w:rFonts w:ascii="Times New Roman" w:eastAsia="Times New Roman" w:hAnsi="Times New Roman" w:cs="Times New Roman"/>
          <w:color w:val="000000"/>
          <w:sz w:val="24"/>
          <w:szCs w:val="24"/>
          <w:lang w:eastAsia="es-AR"/>
        </w:rPr>
        <w:t>, pág. 545). No obstante, continúa el autor citado afirmando que “el legislador no exigió que dicho deber normativo esté impuesto por una ley formal, por lo que puede deducirse que basta con que la Administración incumpla de manera irregular sus deberes u obligaciones impuestos por la Constitución, la ley o el reglamento para poder endilgarle responsabilidad”.</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sentencia venida en revisión no ha ignorado estos conceptos. Por el contrario, ha señalado en forma clara que para responsabilizar al Estado es necesario que la obligación omitida sea concreta, un deber concreto y no uno que opere en dirección genérica o difusa. Tanto es así que ha dado razón a la Provincia demandada en cuanto sostiene que su responsabilidad no puede basarse en el incumplimiento de su deber genérico de evitar la conducción de vehículos bajo los efectos del alcohol.</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Con el mismo criterio, la alzada no ha considerado incumplidas las disposiciones de la Ley de Tránsito, ni se ha detenido en lo dispuesto en las Resoluciones 230/08 o en la posterior que la deroga N° 1966/16. Con ello, cualquier análisis al respecto resulta estéril por cuanto allí no ha sido fundada la omisión antijurídica del Estado provincial.</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El incumplimiento concreto que se le atribuye a la Provincia radica en las disposiciones del Estatuto de la Policía de Mendoza, Ley 6.722, el cual rige la actividad policial en el territorio provincial y entre sus disposiciones establece en el art. 19, inc. 4, la obligación de la policía distrital de “comunicar inmediatamente a la autoridad judicial los delitos y faltas que llegaren a su conocimiento a fin de tomar la intervención que le compete”.</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Así, el Tribunal de alzada considera que los agentes estatales que a raíz de sus funciones propias como miembros de la Policía Vial, tomaron efectivo conocimiento de la reiteración de conductas ilícitas por parte del Sr.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estaban obligados en forma expresa por la ley que rige su actividad a efectuar la denuncia ante la Justicia de Faltas, para que ésta tomara la intervención que le competía, siendo resorte de ella no sólo sancionar al infractor con penas más gravosas, sino también y especialmente, someterlo compulsivamente a un tratamiento de rehabilitación.</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Entiendo que este razonamiento no puede sostenerse válidamente y, por el contrario, amerita la revocación del decisorio que lo contiene. Ello, por varias razones que pasaré a analizar.</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val="es-ES" w:eastAsia="es-AR"/>
        </w:rPr>
        <w:t xml:space="preserve">En primer lugar, tal como lo señala la recurrente, el fundamento de la alzada es </w:t>
      </w:r>
      <w:proofErr w:type="spellStart"/>
      <w:r w:rsidRPr="0060022D">
        <w:rPr>
          <w:rFonts w:ascii="Times New Roman" w:eastAsia="Times New Roman" w:hAnsi="Times New Roman" w:cs="Times New Roman"/>
          <w:color w:val="000000"/>
          <w:sz w:val="24"/>
          <w:szCs w:val="24"/>
          <w:lang w:val="es-ES" w:eastAsia="es-AR"/>
        </w:rPr>
        <w:t>autocontradictorio</w:t>
      </w:r>
      <w:proofErr w:type="spellEnd"/>
      <w:r w:rsidRPr="0060022D">
        <w:rPr>
          <w:rFonts w:ascii="Times New Roman" w:eastAsia="Times New Roman" w:hAnsi="Times New Roman" w:cs="Times New Roman"/>
          <w:color w:val="000000"/>
          <w:sz w:val="24"/>
          <w:szCs w:val="24"/>
          <w:lang w:val="es-ES" w:eastAsia="es-AR"/>
        </w:rPr>
        <w:t xml:space="preserve"> en tanto por un lado afirma que para responsabilizar al Estado la obligación omitida debe ser concreta, pero luego y de modo contradictorio, acude a una norma genérica que contempla el funcionamiento y organización de toda la fuerza policial en la provincia de Mendoza. Tanto es así que el artículo 1 (Ley 6722) pone de manifiesto en forma expresa “</w:t>
      </w:r>
      <w:r w:rsidRPr="0060022D">
        <w:rPr>
          <w:rFonts w:ascii="Times New Roman" w:eastAsia="Times New Roman" w:hAnsi="Times New Roman" w:cs="Times New Roman"/>
          <w:color w:val="000000"/>
          <w:sz w:val="24"/>
          <w:szCs w:val="24"/>
          <w:lang w:eastAsia="es-AR"/>
        </w:rPr>
        <w:t>La presente ley establece las normas generales que reglan el funcionamiento, la organización y los recursos humanos de las Policías de la Provincia de Mendoza”.</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razonamiento de la Cámara llevaría al extremo de responsabilizar al Estado cada vez que un agente policial tome conocimiento -del modo que fuere- de algún delito o falta y no lo comunique a la Justicia en turno. La cantidad de situaciones que podrían presentarse resultaría infinita. Pero la misma norma refiere al deber de la policía de proteger los derechos de los habitantes, o mantener el orden y la paz social (art. 2 Ley 6722), con lo cual y siguiendo el razonamiento de la alzada, cada vez que se vulnere algún derecho de los ciudadanos implicaría que la policía no cumplió con su deber de protegerlos y, por ende, el Estado debe responder. Resulta fácil entonces advertir la </w:t>
      </w:r>
      <w:proofErr w:type="spellStart"/>
      <w:r w:rsidRPr="0060022D">
        <w:rPr>
          <w:rFonts w:ascii="Times New Roman" w:eastAsia="Times New Roman" w:hAnsi="Times New Roman" w:cs="Times New Roman"/>
          <w:color w:val="000000"/>
          <w:sz w:val="24"/>
          <w:szCs w:val="24"/>
          <w:lang w:eastAsia="es-AR"/>
        </w:rPr>
        <w:t>ilogicidad</w:t>
      </w:r>
      <w:proofErr w:type="spellEnd"/>
      <w:r w:rsidRPr="0060022D">
        <w:rPr>
          <w:rFonts w:ascii="Times New Roman" w:eastAsia="Times New Roman" w:hAnsi="Times New Roman" w:cs="Times New Roman"/>
          <w:color w:val="000000"/>
          <w:sz w:val="24"/>
          <w:szCs w:val="24"/>
          <w:lang w:eastAsia="es-AR"/>
        </w:rPr>
        <w:t xml:space="preserve"> de esta posición, por su amplitud y generalidad manifiesta.</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La Corte Nacional recuerda que el deber de seguridad “está definido de modo genérico y no puede asimilarse a una garantía absoluta de privar de todo daño a los ciudadanos derivado de la acción de terceros. Consagrar una regla de este tipo es una decisión que el legislador no ha tomado, y que no registra antecedentes en el derecho comparado. Por lo demás, sería irrazonable que el Estado sea obligado a que ningún habitante sufra daños de ningún tipo, porque ello requeriría una previsión extrema que sería no sólo insoportablemente costosa para la comunidad, sino que haría que se lesionaran severamente las libertades de los mismos ciudadanos a proteger. Como conclusión, no puede afirmarse, como lo pretende la actora, que exista un deber de evitar todo daño, sino en la medida de una protección compatible con la tutela de las libertades y la disposición de medios razonables” (Fallos: 330:563 entre otros). Con base en tal argumentación, se han rechazado sistemáticamente demandas articuladas contra el Estado por omisión del poder de policía de seguridad cuando se reprocha omisión de la policía ante robos o asaltos en la vía pública (PIZARRO, Ramón D., Responsabilidad del Estado y del funcionario público, t. 1, Astrea, Bs. As., 2013, p. 432).</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Pero </w:t>
      </w:r>
      <w:proofErr w:type="spellStart"/>
      <w:r w:rsidRPr="0060022D">
        <w:rPr>
          <w:rFonts w:ascii="Times New Roman" w:eastAsia="Times New Roman" w:hAnsi="Times New Roman" w:cs="Times New Roman"/>
          <w:color w:val="000000"/>
          <w:sz w:val="24"/>
          <w:szCs w:val="24"/>
          <w:lang w:eastAsia="es-AR"/>
        </w:rPr>
        <w:t>aún</w:t>
      </w:r>
      <w:proofErr w:type="spellEnd"/>
      <w:r w:rsidRPr="0060022D">
        <w:rPr>
          <w:rFonts w:ascii="Times New Roman" w:eastAsia="Times New Roman" w:hAnsi="Times New Roman" w:cs="Times New Roman"/>
          <w:color w:val="000000"/>
          <w:sz w:val="24"/>
          <w:szCs w:val="24"/>
          <w:lang w:eastAsia="es-AR"/>
        </w:rPr>
        <w:t xml:space="preserve"> así e intentando soslayar este aspecto, la Cámara tampoco analiza o explica en el caso concreto cuál es el delito o falta que la policía vial debía comunicar a la justicia de faltas. Si para la ley vigente a la fecha de cada sanción no existía delito propiamente dicho, sino una infracción penada con multa, retención de licencia de conducir, etc., que el ciudadano cumplía en cada oportunidad -sin entrar a analizar la suficiencia o no de tales medidas- cuál era entonces la falta que a entender de la Cámara debía comunicarse al Juzgado de Faltas.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Tal como informa el Juez Vial a fs. 246/248 del expediente penal “Al ciudadano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se le secuestró su vehículo en tres oportunidades y posteriormente una vez cumplimentados los requisitos exigibles como son regularizar la multa, la presentación de la documentación del vehículo y de su titular, no tener deudas pendientes de pago (patentes y multas) y ante la falta de norma legal alguna que lo impidiera, se le reintegró su vehículo”.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El mismo Juez Vial, quien pertenece a la Policía de la Provincia, cumplió con la normativa vigente expresando que no existía ley que permitiera retener el vehículo.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Adviértase que en el caso, la demanda contra el Estado provincial no fue fundada en el hecho de no dictar normas adecuadas o no reglamentar las existentes, a los fines de evitar que una persona con antecedentes viales pueda seguir conduciendo. La pretensión de los actores se sustentó en atribuirle a la provincia una deficiente prestación del servicio de seguridad vial y ello exige, necesariamente, demostrar la actuación u omisión irregular del Estado ante la inobservancia de un deber normativo de actuación expreso y determinado, exigencia que entiendo no ha sido cumplida por los accionantes.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val="es-ES" w:eastAsia="es-AR"/>
        </w:rPr>
        <w:t>Tiene dicho este Tribunal que “El deber omitido debe ser una </w:t>
      </w:r>
      <w:r w:rsidRPr="0060022D">
        <w:rPr>
          <w:rFonts w:ascii="Times New Roman" w:eastAsia="Times New Roman" w:hAnsi="Times New Roman" w:cs="Times New Roman"/>
          <w:color w:val="000000"/>
          <w:sz w:val="24"/>
          <w:szCs w:val="24"/>
          <w:lang w:eastAsia="es-AR"/>
        </w:rPr>
        <w:t xml:space="preserve">verdadera obligación, un deber concreto y no uno que opere en dirección genérica y difusa; en definitiva, es menester que se trate de una obligación a cuyo cumplimiento pueda ser compelida la Administración, </w:t>
      </w:r>
      <w:proofErr w:type="spellStart"/>
      <w:r w:rsidRPr="0060022D">
        <w:rPr>
          <w:rFonts w:ascii="Times New Roman" w:eastAsia="Times New Roman" w:hAnsi="Times New Roman" w:cs="Times New Roman"/>
          <w:color w:val="000000"/>
          <w:sz w:val="24"/>
          <w:szCs w:val="24"/>
          <w:lang w:eastAsia="es-AR"/>
        </w:rPr>
        <w:t>aún</w:t>
      </w:r>
      <w:proofErr w:type="spellEnd"/>
      <w:r w:rsidRPr="0060022D">
        <w:rPr>
          <w:rFonts w:ascii="Times New Roman" w:eastAsia="Times New Roman" w:hAnsi="Times New Roman" w:cs="Times New Roman"/>
          <w:color w:val="000000"/>
          <w:sz w:val="24"/>
          <w:szCs w:val="24"/>
          <w:lang w:eastAsia="es-AR"/>
        </w:rPr>
        <w:t xml:space="preserve"> cuando para ello sea necesario cumplir determinadas cargas procesales” (autos n° 13-02123522-3, </w:t>
      </w:r>
      <w:r w:rsidRPr="0060022D">
        <w:rPr>
          <w:rFonts w:ascii="Times New Roman" w:eastAsia="Times New Roman" w:hAnsi="Times New Roman" w:cs="Times New Roman"/>
          <w:i/>
          <w:iCs/>
          <w:color w:val="000000"/>
          <w:sz w:val="24"/>
          <w:szCs w:val="24"/>
          <w:lang w:eastAsia="es-AR"/>
        </w:rPr>
        <w:t xml:space="preserve">“A.P. Y OTS. EN </w:t>
      </w:r>
      <w:proofErr w:type="spellStart"/>
      <w:r w:rsidRPr="0060022D">
        <w:rPr>
          <w:rFonts w:ascii="Times New Roman" w:eastAsia="Times New Roman" w:hAnsi="Times New Roman" w:cs="Times New Roman"/>
          <w:i/>
          <w:iCs/>
          <w:color w:val="000000"/>
          <w:sz w:val="24"/>
          <w:szCs w:val="24"/>
          <w:lang w:eastAsia="es-AR"/>
        </w:rPr>
        <w:t>J°</w:t>
      </w:r>
      <w:proofErr w:type="spellEnd"/>
      <w:r w:rsidRPr="0060022D">
        <w:rPr>
          <w:rFonts w:ascii="Times New Roman" w:eastAsia="Times New Roman" w:hAnsi="Times New Roman" w:cs="Times New Roman"/>
          <w:i/>
          <w:iCs/>
          <w:color w:val="000000"/>
          <w:sz w:val="24"/>
          <w:szCs w:val="24"/>
          <w:lang w:eastAsia="es-AR"/>
        </w:rPr>
        <w:t xml:space="preserve"> 109509/ 34973...”</w:t>
      </w:r>
      <w:r w:rsidRPr="0060022D">
        <w:rPr>
          <w:rFonts w:ascii="Times New Roman" w:eastAsia="Times New Roman" w:hAnsi="Times New Roman" w:cs="Times New Roman"/>
          <w:color w:val="000000"/>
          <w:sz w:val="24"/>
          <w:szCs w:val="24"/>
          <w:lang w:eastAsia="es-AR"/>
        </w:rPr>
        <w:t>, </w:t>
      </w:r>
      <w:r w:rsidRPr="0060022D">
        <w:rPr>
          <w:rFonts w:ascii="Times New Roman" w:eastAsia="Times New Roman" w:hAnsi="Times New Roman" w:cs="Times New Roman"/>
          <w:color w:val="000000"/>
          <w:sz w:val="24"/>
          <w:szCs w:val="24"/>
          <w:lang w:val="es-ES" w:eastAsia="es-AR"/>
        </w:rPr>
        <w:t>12-08-15).</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val="es-ES" w:eastAsia="es-AR"/>
        </w:rPr>
        <w:t>Con el mismo criterio, ha afirmado esta Sala que “El Estado no garantiza ni puede hacerlo, que sus leyes no han de ser violadas, no pudiendo en ejercicio de su poder de policía neutralizar absolutamente la comisión de actos ilícitos, por lo que para que surja su responsabilidad ha de haberse incurrido en la omisión de un concreto servicio razonablemente exigible” (SCMJ, Autos n° 98.081, </w:t>
      </w:r>
      <w:r w:rsidRPr="0060022D">
        <w:rPr>
          <w:rFonts w:ascii="Times New Roman" w:eastAsia="Times New Roman" w:hAnsi="Times New Roman" w:cs="Times New Roman"/>
          <w:i/>
          <w:iCs/>
          <w:color w:val="000000"/>
          <w:sz w:val="24"/>
          <w:szCs w:val="24"/>
          <w:lang w:val="es-ES" w:eastAsia="es-AR"/>
        </w:rPr>
        <w:t xml:space="preserve">“Blanco en </w:t>
      </w:r>
      <w:proofErr w:type="spellStart"/>
      <w:r w:rsidRPr="0060022D">
        <w:rPr>
          <w:rFonts w:ascii="Times New Roman" w:eastAsia="Times New Roman" w:hAnsi="Times New Roman" w:cs="Times New Roman"/>
          <w:i/>
          <w:iCs/>
          <w:color w:val="000000"/>
          <w:sz w:val="24"/>
          <w:szCs w:val="24"/>
          <w:lang w:val="es-ES" w:eastAsia="es-AR"/>
        </w:rPr>
        <w:t>j°</w:t>
      </w:r>
      <w:proofErr w:type="spellEnd"/>
      <w:r w:rsidRPr="0060022D">
        <w:rPr>
          <w:rFonts w:ascii="Times New Roman" w:eastAsia="Times New Roman" w:hAnsi="Times New Roman" w:cs="Times New Roman"/>
          <w:i/>
          <w:iCs/>
          <w:color w:val="000000"/>
          <w:sz w:val="24"/>
          <w:szCs w:val="24"/>
          <w:lang w:val="es-ES" w:eastAsia="es-AR"/>
        </w:rPr>
        <w:t xml:space="preserve"> Guajardo c/ D.G.I.”</w:t>
      </w:r>
      <w:r w:rsidRPr="0060022D">
        <w:rPr>
          <w:rFonts w:ascii="Times New Roman" w:eastAsia="Times New Roman" w:hAnsi="Times New Roman" w:cs="Times New Roman"/>
          <w:color w:val="000000"/>
          <w:sz w:val="24"/>
          <w:szCs w:val="24"/>
          <w:lang w:val="es-ES" w:eastAsia="es-AR"/>
        </w:rPr>
        <w:t>, 24/08/2011).</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Las razones apuntadas me persuaden de la procedencia de la queja interpuesta, en tanto no ha existido en el caso omisión antijurídica que pueda serle </w:t>
      </w:r>
      <w:proofErr w:type="spellStart"/>
      <w:r w:rsidRPr="0060022D">
        <w:rPr>
          <w:rFonts w:ascii="Times New Roman" w:eastAsia="Times New Roman" w:hAnsi="Times New Roman" w:cs="Times New Roman"/>
          <w:color w:val="000000"/>
          <w:sz w:val="24"/>
          <w:szCs w:val="24"/>
          <w:lang w:eastAsia="es-AR"/>
        </w:rPr>
        <w:t>atribuída</w:t>
      </w:r>
      <w:proofErr w:type="spellEnd"/>
      <w:r w:rsidRPr="0060022D">
        <w:rPr>
          <w:rFonts w:ascii="Times New Roman" w:eastAsia="Times New Roman" w:hAnsi="Times New Roman" w:cs="Times New Roman"/>
          <w:color w:val="000000"/>
          <w:sz w:val="24"/>
          <w:szCs w:val="24"/>
          <w:lang w:eastAsia="es-AR"/>
        </w:rPr>
        <w:t xml:space="preserve"> al Estado.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El criterio rector que debe guiar al intérprete es el criterio de razonabilidad, recordando que no es necesario ni justificado, convertir el patrimonio público en asegurador universal de todos los daños que los ciudadanos sufran posiblemente en una sociedad compleja, ya que sería como pretender una especie de seguro público general (Cfr. Santiago MUÑOZ MACHADO, La responsabilidad civil concurrente de las administraciones públicas, segunda edición, </w:t>
      </w:r>
      <w:proofErr w:type="spellStart"/>
      <w:r w:rsidRPr="0060022D">
        <w:rPr>
          <w:rFonts w:ascii="Times New Roman" w:eastAsia="Times New Roman" w:hAnsi="Times New Roman" w:cs="Times New Roman"/>
          <w:color w:val="000000"/>
          <w:sz w:val="24"/>
          <w:szCs w:val="24"/>
          <w:lang w:eastAsia="es-AR"/>
        </w:rPr>
        <w:t>Civitas</w:t>
      </w:r>
      <w:proofErr w:type="spellEnd"/>
      <w:r w:rsidRPr="0060022D">
        <w:rPr>
          <w:rFonts w:ascii="Times New Roman" w:eastAsia="Times New Roman" w:hAnsi="Times New Roman" w:cs="Times New Roman"/>
          <w:color w:val="000000"/>
          <w:sz w:val="24"/>
          <w:szCs w:val="24"/>
          <w:lang w:eastAsia="es-AR"/>
        </w:rPr>
        <w:t>, Madrid, 1998, 129, citado en autos N° 13-02123522-3, </w:t>
      </w:r>
      <w:r w:rsidRPr="0060022D">
        <w:rPr>
          <w:rFonts w:ascii="Times New Roman" w:eastAsia="Times New Roman" w:hAnsi="Times New Roman" w:cs="Times New Roman"/>
          <w:i/>
          <w:iCs/>
          <w:color w:val="000000"/>
          <w:sz w:val="24"/>
          <w:szCs w:val="24"/>
          <w:lang w:eastAsia="es-AR"/>
        </w:rPr>
        <w:t xml:space="preserve">“A.P. Y OTS. EN </w:t>
      </w:r>
      <w:proofErr w:type="spellStart"/>
      <w:r w:rsidRPr="0060022D">
        <w:rPr>
          <w:rFonts w:ascii="Times New Roman" w:eastAsia="Times New Roman" w:hAnsi="Times New Roman" w:cs="Times New Roman"/>
          <w:i/>
          <w:iCs/>
          <w:color w:val="000000"/>
          <w:sz w:val="24"/>
          <w:szCs w:val="24"/>
          <w:lang w:eastAsia="es-AR"/>
        </w:rPr>
        <w:t>J°</w:t>
      </w:r>
      <w:proofErr w:type="spellEnd"/>
      <w:r w:rsidRPr="0060022D">
        <w:rPr>
          <w:rFonts w:ascii="Times New Roman" w:eastAsia="Times New Roman" w:hAnsi="Times New Roman" w:cs="Times New Roman"/>
          <w:i/>
          <w:iCs/>
          <w:color w:val="000000"/>
          <w:sz w:val="24"/>
          <w:szCs w:val="24"/>
          <w:lang w:eastAsia="es-AR"/>
        </w:rPr>
        <w:t xml:space="preserve"> 109509/ 34973...”</w:t>
      </w:r>
      <w:r w:rsidRPr="0060022D">
        <w:rPr>
          <w:rFonts w:ascii="Times New Roman" w:eastAsia="Times New Roman" w:hAnsi="Times New Roman" w:cs="Times New Roman"/>
          <w:color w:val="000000"/>
          <w:sz w:val="24"/>
          <w:szCs w:val="24"/>
          <w:lang w:eastAsia="es-AR"/>
        </w:rPr>
        <w:t>, 12-08-15).</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 todo lo expuesto, cabe agregar tal como analizaré a continuación, que no existe relación causal adecuada entre la responsabilidad atribuida al Estado y el daño sufrido y reclamado por los actores.</w:t>
      </w:r>
    </w:p>
    <w:p w:rsidR="0060022D" w:rsidRPr="0060022D" w:rsidRDefault="0060022D" w:rsidP="0060022D">
      <w:pPr>
        <w:spacing w:before="100" w:beforeAutospacing="1" w:after="0"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c) La ausencia de relación de causalidad adecuada.</w:t>
      </w:r>
    </w:p>
    <w:p w:rsidR="0060022D" w:rsidRPr="0060022D" w:rsidRDefault="0060022D" w:rsidP="0060022D">
      <w:pPr>
        <w:spacing w:before="100" w:beforeAutospacing="1" w:after="0" w:line="300" w:lineRule="atLeast"/>
        <w:ind w:left="288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Al momento de analizar la relación causal, considero que las conclusiones a las que arriba la sentencia de Cámara resultan meramente conjeturales y no permiten afirmar en modo alguno que si la autoridad policial hubiese efectuado la denuncia ante el Juzgado de Faltas, el hecho no se habría producido.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val="es-ES" w:eastAsia="es-AR"/>
        </w:rPr>
        <w:t>Tiene dicho este Tribunal que “hay que analizar detenida y especialmente la relación de causalidad entre la omisión y el daño. En principio, el Estado responde por sus simples actos omisivos cuando existe una norma que imponga el actuar. La simple omisión que genera el deber de reparar es aquélla que guarda adecuada relación de causalidad. El juez debe ser estricto en la apreciación del nexo causal. La omisión es causal cuando la acción esperada hubiere probablemente evitado el resultado, en otros términos, la relación causal se establece juzgando la incidencia que el acto debido, de ser realizado, hubiere tenido con respecto al resultado o a su evitación” (S.C.J.M., </w:t>
      </w:r>
      <w:r w:rsidRPr="0060022D">
        <w:rPr>
          <w:rFonts w:ascii="Times New Roman" w:eastAsia="Times New Roman" w:hAnsi="Times New Roman" w:cs="Times New Roman"/>
          <w:i/>
          <w:iCs/>
          <w:color w:val="000000"/>
          <w:sz w:val="24"/>
          <w:szCs w:val="24"/>
          <w:lang w:val="es-ES" w:eastAsia="es-AR"/>
        </w:rPr>
        <w:t xml:space="preserve">“Norton, M.C. c/ </w:t>
      </w:r>
      <w:proofErr w:type="spellStart"/>
      <w:r w:rsidRPr="0060022D">
        <w:rPr>
          <w:rFonts w:ascii="Times New Roman" w:eastAsia="Times New Roman" w:hAnsi="Times New Roman" w:cs="Times New Roman"/>
          <w:i/>
          <w:iCs/>
          <w:color w:val="000000"/>
          <w:sz w:val="24"/>
          <w:szCs w:val="24"/>
          <w:lang w:val="es-ES" w:eastAsia="es-AR"/>
        </w:rPr>
        <w:t>Municip</w:t>
      </w:r>
      <w:proofErr w:type="spellEnd"/>
      <w:r w:rsidRPr="0060022D">
        <w:rPr>
          <w:rFonts w:ascii="Times New Roman" w:eastAsia="Times New Roman" w:hAnsi="Times New Roman" w:cs="Times New Roman"/>
          <w:i/>
          <w:iCs/>
          <w:color w:val="000000"/>
          <w:sz w:val="24"/>
          <w:szCs w:val="24"/>
          <w:lang w:val="es-ES" w:eastAsia="es-AR"/>
        </w:rPr>
        <w:t>. de Godoy Cruz”</w:t>
      </w:r>
      <w:r w:rsidRPr="0060022D">
        <w:rPr>
          <w:rFonts w:ascii="Times New Roman" w:eastAsia="Times New Roman" w:hAnsi="Times New Roman" w:cs="Times New Roman"/>
          <w:color w:val="000000"/>
          <w:sz w:val="24"/>
          <w:szCs w:val="24"/>
          <w:lang w:val="es-ES" w:eastAsia="es-AR"/>
        </w:rPr>
        <w:t>, LS 267-496; LL 1997-B-92; en el mismo sentido autos N°</w:t>
      </w:r>
      <w:r w:rsidRPr="0060022D">
        <w:rPr>
          <w:rFonts w:ascii="Times New Roman" w:eastAsia="Times New Roman" w:hAnsi="Times New Roman" w:cs="Times New Roman"/>
          <w:color w:val="000000"/>
          <w:sz w:val="24"/>
          <w:szCs w:val="24"/>
          <w:lang w:eastAsia="es-AR"/>
        </w:rPr>
        <w:t>13-02123645-9, </w:t>
      </w:r>
      <w:r w:rsidRPr="0060022D">
        <w:rPr>
          <w:rFonts w:ascii="Times New Roman" w:eastAsia="Times New Roman" w:hAnsi="Times New Roman" w:cs="Times New Roman"/>
          <w:i/>
          <w:iCs/>
          <w:color w:val="000000"/>
          <w:sz w:val="24"/>
          <w:szCs w:val="24"/>
          <w:lang w:eastAsia="es-AR"/>
        </w:rPr>
        <w:t>“Municipalidad de Guaymallén...”</w:t>
      </w:r>
      <w:r w:rsidRPr="0060022D">
        <w:rPr>
          <w:rFonts w:ascii="Times New Roman" w:eastAsia="Times New Roman" w:hAnsi="Times New Roman" w:cs="Times New Roman"/>
          <w:color w:val="000000"/>
          <w:sz w:val="24"/>
          <w:szCs w:val="24"/>
          <w:lang w:eastAsia="es-AR"/>
        </w:rPr>
        <w:t>, 12/02/2016).</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El plano conjetural al que acude la alzada es realmente notorio. Tanto es así que en un mismo párrafo prácticamente todos sus verbos se encuentran conjugados en tiempo condicional, casi como una sumatoria de buenos deseos de lo que podría haber ocurrido, pero sin el análisis de rigor que exige la causalidad adecuada. En efecto, sostiene la Cámara “si los agentes estatales..</w:t>
      </w:r>
      <w:r w:rsidRPr="0060022D">
        <w:rPr>
          <w:rFonts w:ascii="Times New Roman" w:eastAsia="Times New Roman" w:hAnsi="Times New Roman" w:cs="Times New Roman"/>
          <w:i/>
          <w:iCs/>
          <w:color w:val="000000"/>
          <w:sz w:val="24"/>
          <w:szCs w:val="24"/>
          <w:lang w:eastAsia="es-AR"/>
        </w:rPr>
        <w:t>.hubieran hecho</w:t>
      </w:r>
      <w:r w:rsidRPr="0060022D">
        <w:rPr>
          <w:rFonts w:ascii="Times New Roman" w:eastAsia="Times New Roman" w:hAnsi="Times New Roman" w:cs="Times New Roman"/>
          <w:color w:val="000000"/>
          <w:sz w:val="24"/>
          <w:szCs w:val="24"/>
          <w:lang w:eastAsia="es-AR"/>
        </w:rPr>
        <w:t> la denuncia pertinente ante el Juzgado de Faltas para que se aplicara el art. 65, </w:t>
      </w:r>
      <w:r w:rsidRPr="0060022D">
        <w:rPr>
          <w:rFonts w:ascii="Times New Roman" w:eastAsia="Times New Roman" w:hAnsi="Times New Roman" w:cs="Times New Roman"/>
          <w:i/>
          <w:iCs/>
          <w:color w:val="000000"/>
          <w:sz w:val="24"/>
          <w:szCs w:val="24"/>
          <w:lang w:eastAsia="es-AR"/>
        </w:rPr>
        <w:t>seguramente</w:t>
      </w:r>
      <w:r w:rsidRPr="0060022D">
        <w:rPr>
          <w:rFonts w:ascii="Times New Roman" w:eastAsia="Times New Roman" w:hAnsi="Times New Roman" w:cs="Times New Roman"/>
          <w:color w:val="000000"/>
          <w:sz w:val="24"/>
          <w:szCs w:val="24"/>
          <w:lang w:eastAsia="es-AR"/>
        </w:rPr>
        <w:t>, con los antecedentes que </w:t>
      </w:r>
      <w:r w:rsidRPr="0060022D">
        <w:rPr>
          <w:rFonts w:ascii="Times New Roman" w:eastAsia="Times New Roman" w:hAnsi="Times New Roman" w:cs="Times New Roman"/>
          <w:i/>
          <w:iCs/>
          <w:color w:val="000000"/>
          <w:sz w:val="24"/>
          <w:szCs w:val="24"/>
          <w:lang w:eastAsia="es-AR"/>
        </w:rPr>
        <w:t>hubieran sido</w:t>
      </w:r>
      <w:r w:rsidRPr="0060022D">
        <w:rPr>
          <w:rFonts w:ascii="Times New Roman" w:eastAsia="Times New Roman" w:hAnsi="Times New Roman" w:cs="Times New Roman"/>
          <w:color w:val="000000"/>
          <w:sz w:val="24"/>
          <w:szCs w:val="24"/>
          <w:lang w:eastAsia="es-AR"/>
        </w:rPr>
        <w:t> puestos a su alcance, el magistrado </w:t>
      </w:r>
      <w:r w:rsidRPr="0060022D">
        <w:rPr>
          <w:rFonts w:ascii="Times New Roman" w:eastAsia="Times New Roman" w:hAnsi="Times New Roman" w:cs="Times New Roman"/>
          <w:i/>
          <w:iCs/>
          <w:color w:val="000000"/>
          <w:sz w:val="24"/>
          <w:szCs w:val="24"/>
          <w:lang w:eastAsia="es-AR"/>
        </w:rPr>
        <w:t>hubiera requerido</w:t>
      </w:r>
      <w:r w:rsidRPr="0060022D">
        <w:rPr>
          <w:rFonts w:ascii="Times New Roman" w:eastAsia="Times New Roman" w:hAnsi="Times New Roman" w:cs="Times New Roman"/>
          <w:color w:val="000000"/>
          <w:sz w:val="24"/>
          <w:szCs w:val="24"/>
          <w:lang w:eastAsia="es-AR"/>
        </w:rPr>
        <w:t> dictamen del CMF, el que </w:t>
      </w:r>
      <w:r w:rsidRPr="0060022D">
        <w:rPr>
          <w:rFonts w:ascii="Times New Roman" w:eastAsia="Times New Roman" w:hAnsi="Times New Roman" w:cs="Times New Roman"/>
          <w:i/>
          <w:iCs/>
          <w:color w:val="000000"/>
          <w:sz w:val="24"/>
          <w:szCs w:val="24"/>
          <w:lang w:eastAsia="es-AR"/>
        </w:rPr>
        <w:t>habría arrojado</w:t>
      </w:r>
      <w:r w:rsidRPr="0060022D">
        <w:rPr>
          <w:rFonts w:ascii="Times New Roman" w:eastAsia="Times New Roman" w:hAnsi="Times New Roman" w:cs="Times New Roman"/>
          <w:color w:val="000000"/>
          <w:sz w:val="24"/>
          <w:szCs w:val="24"/>
          <w:lang w:eastAsia="es-AR"/>
        </w:rPr>
        <w:t> los mismos resultados que los que luego se practicaron a instancia de la justicia penal...Con tales elementos, es </w:t>
      </w:r>
      <w:r w:rsidRPr="0060022D">
        <w:rPr>
          <w:rFonts w:ascii="Times New Roman" w:eastAsia="Times New Roman" w:hAnsi="Times New Roman" w:cs="Times New Roman"/>
          <w:i/>
          <w:iCs/>
          <w:color w:val="000000"/>
          <w:sz w:val="24"/>
          <w:szCs w:val="24"/>
          <w:lang w:eastAsia="es-AR"/>
        </w:rPr>
        <w:t>altamente probable</w:t>
      </w:r>
      <w:r w:rsidRPr="0060022D">
        <w:rPr>
          <w:rFonts w:ascii="Times New Roman" w:eastAsia="Times New Roman" w:hAnsi="Times New Roman" w:cs="Times New Roman"/>
          <w:color w:val="000000"/>
          <w:sz w:val="24"/>
          <w:szCs w:val="24"/>
          <w:lang w:eastAsia="es-AR"/>
        </w:rPr>
        <w:t>, que el magistrado </w:t>
      </w:r>
      <w:r w:rsidRPr="0060022D">
        <w:rPr>
          <w:rFonts w:ascii="Times New Roman" w:eastAsia="Times New Roman" w:hAnsi="Times New Roman" w:cs="Times New Roman"/>
          <w:i/>
          <w:iCs/>
          <w:color w:val="000000"/>
          <w:sz w:val="24"/>
          <w:szCs w:val="24"/>
          <w:lang w:eastAsia="es-AR"/>
        </w:rPr>
        <w:t>concluyese</w:t>
      </w:r>
      <w:r w:rsidRPr="0060022D">
        <w:rPr>
          <w:rFonts w:ascii="Times New Roman" w:eastAsia="Times New Roman" w:hAnsi="Times New Roman" w:cs="Times New Roman"/>
          <w:color w:val="000000"/>
          <w:sz w:val="24"/>
          <w:szCs w:val="24"/>
          <w:lang w:eastAsia="es-AR"/>
        </w:rPr>
        <w:t> que efectivamente el supuesto encuadraba en lo previsto en dicha norma, lo cual lo habilitaba a ordenar la internación compulsiva con fines terapéuticos, tratamiento del que era </w:t>
      </w:r>
      <w:r w:rsidRPr="0060022D">
        <w:rPr>
          <w:rFonts w:ascii="Times New Roman" w:eastAsia="Times New Roman" w:hAnsi="Times New Roman" w:cs="Times New Roman"/>
          <w:i/>
          <w:iCs/>
          <w:color w:val="000000"/>
          <w:sz w:val="24"/>
          <w:szCs w:val="24"/>
          <w:lang w:eastAsia="es-AR"/>
        </w:rPr>
        <w:t>dable esperar</w:t>
      </w:r>
      <w:r w:rsidRPr="0060022D">
        <w:rPr>
          <w:rFonts w:ascii="Times New Roman" w:eastAsia="Times New Roman" w:hAnsi="Times New Roman" w:cs="Times New Roman"/>
          <w:color w:val="000000"/>
          <w:sz w:val="24"/>
          <w:szCs w:val="24"/>
          <w:lang w:eastAsia="es-AR"/>
        </w:rPr>
        <w:t xml:space="preserve"> resultados favorables. De haberse hecho ello, para la fecha del hecho, o bien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w:t>
      </w:r>
      <w:r w:rsidRPr="0060022D">
        <w:rPr>
          <w:rFonts w:ascii="Times New Roman" w:eastAsia="Times New Roman" w:hAnsi="Times New Roman" w:cs="Times New Roman"/>
          <w:i/>
          <w:iCs/>
          <w:color w:val="000000"/>
          <w:sz w:val="24"/>
          <w:szCs w:val="24"/>
          <w:lang w:eastAsia="es-AR"/>
        </w:rPr>
        <w:t>estaría bajo tratamiento</w:t>
      </w:r>
      <w:r w:rsidRPr="0060022D">
        <w:rPr>
          <w:rFonts w:ascii="Times New Roman" w:eastAsia="Times New Roman" w:hAnsi="Times New Roman" w:cs="Times New Roman"/>
          <w:color w:val="000000"/>
          <w:sz w:val="24"/>
          <w:szCs w:val="24"/>
          <w:lang w:eastAsia="es-AR"/>
        </w:rPr>
        <w:t>, con lo cual </w:t>
      </w:r>
      <w:r w:rsidRPr="0060022D">
        <w:rPr>
          <w:rFonts w:ascii="Times New Roman" w:eastAsia="Times New Roman" w:hAnsi="Times New Roman" w:cs="Times New Roman"/>
          <w:i/>
          <w:iCs/>
          <w:color w:val="000000"/>
          <w:sz w:val="24"/>
          <w:szCs w:val="24"/>
          <w:lang w:eastAsia="es-AR"/>
        </w:rPr>
        <w:t>no podría</w:t>
      </w:r>
      <w:r w:rsidRPr="0060022D">
        <w:rPr>
          <w:rFonts w:ascii="Times New Roman" w:eastAsia="Times New Roman" w:hAnsi="Times New Roman" w:cs="Times New Roman"/>
          <w:color w:val="000000"/>
          <w:sz w:val="24"/>
          <w:szCs w:val="24"/>
          <w:lang w:eastAsia="es-AR"/>
        </w:rPr>
        <w:t xml:space="preserve"> haber estado conduciendo en la vía pública (dada la modalidad de internación) o si ya estaba </w:t>
      </w:r>
      <w:proofErr w:type="spellStart"/>
      <w:r w:rsidRPr="0060022D">
        <w:rPr>
          <w:rFonts w:ascii="Times New Roman" w:eastAsia="Times New Roman" w:hAnsi="Times New Roman" w:cs="Times New Roman"/>
          <w:color w:val="000000"/>
          <w:sz w:val="24"/>
          <w:szCs w:val="24"/>
          <w:lang w:eastAsia="es-AR"/>
        </w:rPr>
        <w:t>concluído</w:t>
      </w:r>
      <w:proofErr w:type="spellEnd"/>
      <w:r w:rsidRPr="0060022D">
        <w:rPr>
          <w:rFonts w:ascii="Times New Roman" w:eastAsia="Times New Roman" w:hAnsi="Times New Roman" w:cs="Times New Roman"/>
          <w:color w:val="000000"/>
          <w:sz w:val="24"/>
          <w:szCs w:val="24"/>
          <w:lang w:eastAsia="es-AR"/>
        </w:rPr>
        <w:t xml:space="preserve">, era previsible esperar que, en virtud del mismo,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w:t>
      </w:r>
      <w:r w:rsidRPr="0060022D">
        <w:rPr>
          <w:rFonts w:ascii="Times New Roman" w:eastAsia="Times New Roman" w:hAnsi="Times New Roman" w:cs="Times New Roman"/>
          <w:i/>
          <w:iCs/>
          <w:color w:val="000000"/>
          <w:sz w:val="24"/>
          <w:szCs w:val="24"/>
          <w:lang w:eastAsia="es-AR"/>
        </w:rPr>
        <w:t>no condujera</w:t>
      </w:r>
      <w:r w:rsidRPr="0060022D">
        <w:rPr>
          <w:rFonts w:ascii="Times New Roman" w:eastAsia="Times New Roman" w:hAnsi="Times New Roman" w:cs="Times New Roman"/>
          <w:color w:val="000000"/>
          <w:sz w:val="24"/>
          <w:szCs w:val="24"/>
          <w:lang w:eastAsia="es-AR"/>
        </w:rPr>
        <w:t> esa noche alcoholizado, a alta velocidad y en forma zigzagueante, con lo que </w:t>
      </w:r>
      <w:r w:rsidRPr="0060022D">
        <w:rPr>
          <w:rFonts w:ascii="Times New Roman" w:eastAsia="Times New Roman" w:hAnsi="Times New Roman" w:cs="Times New Roman"/>
          <w:i/>
          <w:iCs/>
          <w:color w:val="000000"/>
          <w:sz w:val="24"/>
          <w:szCs w:val="24"/>
          <w:lang w:eastAsia="es-AR"/>
        </w:rPr>
        <w:t>podría haber advertido</w:t>
      </w:r>
      <w:r w:rsidRPr="0060022D">
        <w:rPr>
          <w:rFonts w:ascii="Times New Roman" w:eastAsia="Times New Roman" w:hAnsi="Times New Roman" w:cs="Times New Roman"/>
          <w:color w:val="000000"/>
          <w:sz w:val="24"/>
          <w:szCs w:val="24"/>
          <w:lang w:eastAsia="es-AR"/>
        </w:rPr>
        <w:t> el cruce de la adolescente a tiempo de evitar impactarla” (el resaltado me pertenece).</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Precisamente me he permitido resaltar el párrafo citado para poner en evidencia que el análisis del nexo causal que efectúa la alzada es tan endeble que la simple alteración de cualquiera de las hipótesis que plantea, sería por demás suficiente para alterar el resultado o conclusión a la cual pretende llegar.</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Así, a modo de ejemplificar, qué hubiera sucedido si el dictamen del Cuerpo Médico Forense al cual el magistrado habría requerido intervención, hubiese arrojado un resultado distinto al presumido por la alzada. El resto del razonamiento ya se torna abstracto evidentemente. En la misma línea, qué hubiese ocurrido si el Juez de Faltas no ordenaba la internación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por considerar aplicable la Ley Nacional de Salud Mental N° 26.657 y sus restricciones respecto a la internación involuntaria de las personas. Una vez más, la línea argumental cae en simples hipótesis probables ante distintos escenarios posibles.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Del mismo modo, la probable internación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¿en qué momento habría ocurrido conforme el criterio de la alzada? Las infracciones de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por conducir en estado de ebriedad ocurrieron en un lapso de cuatro años (desde el 21/042013 al 02/07/2016) y el plazo máximo de internación según lo dispuesto por el art. 65 del Código de Faltas (Ley 3365, </w:t>
      </w:r>
      <w:proofErr w:type="spellStart"/>
      <w:r w:rsidRPr="0060022D">
        <w:rPr>
          <w:rFonts w:ascii="Times New Roman" w:eastAsia="Times New Roman" w:hAnsi="Times New Roman" w:cs="Times New Roman"/>
          <w:color w:val="000000"/>
          <w:sz w:val="24"/>
          <w:szCs w:val="24"/>
          <w:lang w:eastAsia="es-AR"/>
        </w:rPr>
        <w:t>mofigivsfs</w:t>
      </w:r>
      <w:proofErr w:type="spellEnd"/>
      <w:r w:rsidRPr="0060022D">
        <w:rPr>
          <w:rFonts w:ascii="Times New Roman" w:eastAsia="Times New Roman" w:hAnsi="Times New Roman" w:cs="Times New Roman"/>
          <w:color w:val="000000"/>
          <w:sz w:val="24"/>
          <w:szCs w:val="24"/>
          <w:lang w:eastAsia="es-AR"/>
        </w:rPr>
        <w:t xml:space="preserve"> </w:t>
      </w:r>
      <w:proofErr w:type="spellStart"/>
      <w:r w:rsidRPr="0060022D">
        <w:rPr>
          <w:rFonts w:ascii="Times New Roman" w:eastAsia="Times New Roman" w:hAnsi="Times New Roman" w:cs="Times New Roman"/>
          <w:color w:val="000000"/>
          <w:sz w:val="24"/>
          <w:szCs w:val="24"/>
          <w:lang w:eastAsia="es-AR"/>
        </w:rPr>
        <w:t>pot</w:t>
      </w:r>
      <w:proofErr w:type="spellEnd"/>
      <w:r w:rsidRPr="0060022D">
        <w:rPr>
          <w:rFonts w:ascii="Times New Roman" w:eastAsia="Times New Roman" w:hAnsi="Times New Roman" w:cs="Times New Roman"/>
          <w:color w:val="000000"/>
          <w:sz w:val="24"/>
          <w:szCs w:val="24"/>
          <w:lang w:eastAsia="es-AR"/>
        </w:rPr>
        <w:t xml:space="preserve"> Ley 6125) es de noventa días, con lo que no queda claro desde cuándo y hasta qué fecha habría tenido lugar la internación para evitar el hecho que ocurrió el 29 de octubre del año 2016. Se advierte así que la hipótesis de la Cámara de que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se encontraría internado a la fecha del accidente carece de sustento alguno.</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La última hipótesis de la Cámara, referida al tratamiento al que habría sido sometido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del cual se habrían obtenido resultados favorables que lo habrían llevado a no conducir esa noche y así evitar el hecho dañoso, tampoco supera el plano de las meras probabilidades, insuficientes para construir el nexo causal adecuado y necesario. El resultado positivo de un tratamiento de adicciones si bien es algo deseable, lamentablemente no se alcanza o satisface en todos los casos. Por lo demás, exigir al Estado que los tratamientos que brinda a sus ciudadanos resulten de eficacia absoluta, implicaría imponerle una carga de resultado prácticamente imposible, en tanto depende de numerosas variables, tantas como individuos se sometan a ellos.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Con lo expuesto no puedo más que concluir que la elaboración del nexo causal que ha realizado la alzada no resulta suficiente para atribuir al Estado las consecuencias del daño reclamado por los actores.</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Tal como he analizado en los apartados precedentes, no existe de parte del Estado provincial omisión antijurídica que pueda sustentar la responsabilidad que se le atribuye y, aún de considerar que alguna falla existió en el servicio de seguridad vial prestado, ésta no reúne los requisitos necesarios para que el daño reclamado pueda ser </w:t>
      </w:r>
      <w:proofErr w:type="spellStart"/>
      <w:r w:rsidRPr="0060022D">
        <w:rPr>
          <w:rFonts w:ascii="Times New Roman" w:eastAsia="Times New Roman" w:hAnsi="Times New Roman" w:cs="Times New Roman"/>
          <w:color w:val="000000"/>
          <w:sz w:val="24"/>
          <w:szCs w:val="24"/>
          <w:lang w:eastAsia="es-AR"/>
        </w:rPr>
        <w:t>atribuído</w:t>
      </w:r>
      <w:proofErr w:type="spellEnd"/>
      <w:r w:rsidRPr="0060022D">
        <w:rPr>
          <w:rFonts w:ascii="Times New Roman" w:eastAsia="Times New Roman" w:hAnsi="Times New Roman" w:cs="Times New Roman"/>
          <w:color w:val="000000"/>
          <w:sz w:val="24"/>
          <w:szCs w:val="24"/>
          <w:lang w:eastAsia="es-AR"/>
        </w:rPr>
        <w:t xml:space="preserve"> causalmente a la provincia demandada.</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 virtud de todo lo expuesto, si mi voto cuenta con mis distinguidos colegas de Sala, corresponde hacer lugar al recurso extraordinario interpuesto y, en consecuencia, revocar la sentencia que ha sido dictada por el Tribunal de Alzada en contra de la recurrente.</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Así voto.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Sobre la misma cuestión los </w:t>
      </w:r>
      <w:r w:rsidRPr="0060022D">
        <w:rPr>
          <w:rFonts w:ascii="Times New Roman" w:eastAsia="Times New Roman" w:hAnsi="Times New Roman" w:cs="Times New Roman"/>
          <w:color w:val="000000"/>
          <w:sz w:val="24"/>
          <w:szCs w:val="24"/>
          <w:lang w:val="es-ES" w:eastAsia="es-AR"/>
        </w:rPr>
        <w:t>Dres. JULIO RAMÓN GÓMEZ y PEDRO JORGE LLORENTE</w:t>
      </w:r>
      <w:r w:rsidRPr="0060022D">
        <w:rPr>
          <w:rFonts w:ascii="Times New Roman" w:eastAsia="Times New Roman" w:hAnsi="Times New Roman" w:cs="Times New Roman"/>
          <w:color w:val="000000"/>
          <w:sz w:val="24"/>
          <w:szCs w:val="24"/>
          <w:lang w:eastAsia="es-AR"/>
        </w:rPr>
        <w:t>, adhieren al voto que antecede.</w:t>
      </w:r>
    </w:p>
    <w:p w:rsidR="0060022D" w:rsidRPr="0060022D" w:rsidRDefault="0060022D" w:rsidP="0060022D">
      <w:p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A LA SEGUNDA CUESTIÓN LA</w:t>
      </w:r>
      <w:r w:rsidRPr="0060022D">
        <w:rPr>
          <w:rFonts w:ascii="Times New Roman" w:eastAsia="Times New Roman" w:hAnsi="Times New Roman" w:cs="Times New Roman"/>
          <w:b/>
          <w:bCs/>
          <w:color w:val="000000"/>
          <w:sz w:val="24"/>
          <w:szCs w:val="24"/>
          <w:u w:val="single"/>
          <w:lang w:val="es-ES" w:eastAsia="es-AR"/>
        </w:rPr>
        <w:t> DRA. MARÍA TERESA DAY, </w:t>
      </w:r>
      <w:r w:rsidRPr="0060022D">
        <w:rPr>
          <w:rFonts w:ascii="Times New Roman" w:eastAsia="Times New Roman" w:hAnsi="Times New Roman" w:cs="Times New Roman"/>
          <w:b/>
          <w:bCs/>
          <w:color w:val="000000"/>
          <w:sz w:val="24"/>
          <w:szCs w:val="24"/>
          <w:u w:val="single"/>
          <w:lang w:eastAsia="es-AR"/>
        </w:rPr>
        <w:t>DIJO: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Atento lo resuelto en la cuestión anterior, corresponde hacer lugar al recurso extraordinario interpuesto y, en consecuencia, revocar la sentencia dictada por la Primera Cámara de Apelaciones en lo Civil de la Segunda Circunscripción Judicial, en fecha 10/02/2022, a fojas 1307 de los autos n° 13-04896618-1 (020301-31007), caratulados: “GIMENEZ MARCELO ANTONIO P/ SI Y P/ SU HIJA CANDELA GIMENEZ </w:t>
      </w:r>
      <w:proofErr w:type="gramStart"/>
      <w:r w:rsidRPr="0060022D">
        <w:rPr>
          <w:rFonts w:ascii="Times New Roman" w:eastAsia="Times New Roman" w:hAnsi="Times New Roman" w:cs="Times New Roman"/>
          <w:color w:val="000000"/>
          <w:sz w:val="24"/>
          <w:szCs w:val="24"/>
          <w:lang w:eastAsia="es-AR"/>
        </w:rPr>
        <w:t>GONZALEZ,.</w:t>
      </w:r>
      <w:proofErr w:type="gramEnd"/>
      <w:r w:rsidRPr="0060022D">
        <w:rPr>
          <w:rFonts w:ascii="Times New Roman" w:eastAsia="Times New Roman" w:hAnsi="Times New Roman" w:cs="Times New Roman"/>
          <w:color w:val="000000"/>
          <w:sz w:val="24"/>
          <w:szCs w:val="24"/>
          <w:lang w:eastAsia="es-AR"/>
        </w:rPr>
        <w:t xml:space="preserve"> GONZÁLEZ MARÍA ALEJANDRA P/ SI Y P/ SU HIJA CANDELA GIMENEZ GONZALEZ Y GIMENEZ SOFÍA C/ SCOLLO HUGO ARMANDO Y OTS. P/ DAÑOS Y PERJUICIOS”.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Así voto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Sobre la misma cuestión los </w:t>
      </w:r>
      <w:proofErr w:type="spellStart"/>
      <w:r w:rsidRPr="0060022D">
        <w:rPr>
          <w:rFonts w:ascii="Times New Roman" w:eastAsia="Times New Roman" w:hAnsi="Times New Roman" w:cs="Times New Roman"/>
          <w:color w:val="000000"/>
          <w:sz w:val="24"/>
          <w:szCs w:val="24"/>
          <w:lang w:eastAsia="es-AR"/>
        </w:rPr>
        <w:t>Dres</w:t>
      </w:r>
      <w:proofErr w:type="spellEnd"/>
      <w:r w:rsidRPr="0060022D">
        <w:rPr>
          <w:rFonts w:ascii="Times New Roman" w:eastAsia="Times New Roman" w:hAnsi="Times New Roman" w:cs="Times New Roman"/>
          <w:color w:val="000000"/>
          <w:sz w:val="24"/>
          <w:szCs w:val="24"/>
          <w:lang w:val="es-ES" w:eastAsia="es-AR"/>
        </w:rPr>
        <w:t>. JULIO RAMÓN GÓMEZ y PEDRO JORGE LLORENTE</w:t>
      </w:r>
      <w:r w:rsidRPr="0060022D">
        <w:rPr>
          <w:rFonts w:ascii="Times New Roman" w:eastAsia="Times New Roman" w:hAnsi="Times New Roman" w:cs="Times New Roman"/>
          <w:color w:val="000000"/>
          <w:sz w:val="24"/>
          <w:szCs w:val="24"/>
          <w:lang w:eastAsia="es-AR"/>
        </w:rPr>
        <w:t>, adhieren al voto que antecede.</w:t>
      </w:r>
    </w:p>
    <w:p w:rsidR="0060022D" w:rsidRPr="0060022D" w:rsidRDefault="0060022D" w:rsidP="0060022D">
      <w:pPr>
        <w:spacing w:before="100" w:beforeAutospacing="1" w:after="115" w:line="3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A LA TERCERA CUESTIÓN LA</w:t>
      </w:r>
      <w:r w:rsidRPr="0060022D">
        <w:rPr>
          <w:rFonts w:ascii="Times New Roman" w:eastAsia="Times New Roman" w:hAnsi="Times New Roman" w:cs="Times New Roman"/>
          <w:b/>
          <w:bCs/>
          <w:color w:val="000000"/>
          <w:sz w:val="24"/>
          <w:szCs w:val="24"/>
          <w:u w:val="single"/>
          <w:lang w:val="es-ES" w:eastAsia="es-AR"/>
        </w:rPr>
        <w:t> DRA. MARÍA TERESA DAY, </w:t>
      </w:r>
      <w:r w:rsidRPr="0060022D">
        <w:rPr>
          <w:rFonts w:ascii="Times New Roman" w:eastAsia="Times New Roman" w:hAnsi="Times New Roman" w:cs="Times New Roman"/>
          <w:b/>
          <w:bCs/>
          <w:color w:val="000000"/>
          <w:sz w:val="24"/>
          <w:szCs w:val="24"/>
          <w:u w:val="single"/>
          <w:lang w:eastAsia="es-AR"/>
        </w:rPr>
        <w:t>DIJO: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Respecto a las costas del proceso, entiendo que, las especiales circunstancias del caso ameritan apartarse de la regla que impone en forma genérica el art. 36 CPCTM y por ello, no imponerse a la parte recurrida vencida.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En efecto, la acción interpuesta pretende la indemnización de los gravísimos e incapacitantes daños sufridos en forma directa por una adolescente en su integridad psicofísica. También involucra el reclamo de su familia, sus padres y pequeñas hermanas, por el daño extrapatrimonial del que han resultado víctimas. Así, la naturaleza y gravedad de los derechos en juego y teniendo en cuenta el modo disímil en que ha sido resuelta la cuestión en las distintas instancias, me persuaden que lo más justo y equitativo en autos es que las costas por la demanda interpuesta contra la Provincia de Mendoza, en todas las instancias, sean impuestas en el orden causado (art. 36 CPCTM).</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Así voto.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Sobre la misma cuestión los </w:t>
      </w:r>
      <w:r w:rsidRPr="0060022D">
        <w:rPr>
          <w:rFonts w:ascii="Times New Roman" w:eastAsia="Times New Roman" w:hAnsi="Times New Roman" w:cs="Times New Roman"/>
          <w:color w:val="000000"/>
          <w:sz w:val="24"/>
          <w:szCs w:val="24"/>
          <w:lang w:val="es-ES" w:eastAsia="es-AR"/>
        </w:rPr>
        <w:t>Dres. JULIO RAMÓN GÓMEZ y PEDRO JORGE LLORENTE</w:t>
      </w:r>
      <w:r w:rsidRPr="0060022D">
        <w:rPr>
          <w:rFonts w:ascii="Times New Roman" w:eastAsia="Times New Roman" w:hAnsi="Times New Roman" w:cs="Times New Roman"/>
          <w:color w:val="000000"/>
          <w:sz w:val="24"/>
          <w:szCs w:val="24"/>
          <w:lang w:eastAsia="es-AR"/>
        </w:rPr>
        <w:t>, adhieren al voto que antecede.</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Con lo que se dio por terminado el acto, procediéndose a dictar la sentencia que a continuación se inserta:</w:t>
      </w:r>
    </w:p>
    <w:p w:rsidR="0060022D" w:rsidRPr="0060022D" w:rsidRDefault="0060022D" w:rsidP="0060022D">
      <w:pPr>
        <w:spacing w:before="100" w:beforeAutospacing="1" w:after="240" w:line="300" w:lineRule="atLeast"/>
        <w:ind w:firstLine="1210"/>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 xml:space="preserve">S E N T E N C I </w:t>
      </w:r>
      <w:proofErr w:type="gramStart"/>
      <w:r w:rsidRPr="0060022D">
        <w:rPr>
          <w:rFonts w:ascii="Times New Roman" w:eastAsia="Times New Roman" w:hAnsi="Times New Roman" w:cs="Times New Roman"/>
          <w:b/>
          <w:bCs/>
          <w:color w:val="000000"/>
          <w:sz w:val="24"/>
          <w:szCs w:val="24"/>
          <w:u w:val="single"/>
          <w:lang w:eastAsia="es-AR"/>
        </w:rPr>
        <w:t>A :</w:t>
      </w:r>
      <w:proofErr w:type="gramEnd"/>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Mendoza, </w:t>
      </w:r>
      <w:r w:rsidRPr="0060022D">
        <w:rPr>
          <w:rFonts w:ascii="Times New Roman" w:eastAsia="Times New Roman" w:hAnsi="Times New Roman" w:cs="Times New Roman"/>
          <w:color w:val="000000"/>
          <w:sz w:val="24"/>
          <w:szCs w:val="24"/>
          <w:lang w:val="es-ES" w:eastAsia="es-AR"/>
        </w:rPr>
        <w:t>23 de febrero de 2.023.-</w:t>
      </w:r>
    </w:p>
    <w:p w:rsidR="0060022D" w:rsidRPr="0060022D" w:rsidRDefault="0060022D" w:rsidP="0060022D">
      <w:pPr>
        <w:spacing w:before="100" w:beforeAutospacing="1" w:after="240" w:line="300" w:lineRule="atLeast"/>
        <w:ind w:firstLine="1210"/>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Y VISTOS: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Por el mérito que resulta del acuerdo precedente, la Sala Primera de la Excma. Suprema Corte de Justicia, fallando en definitiva,</w:t>
      </w:r>
    </w:p>
    <w:p w:rsidR="0060022D" w:rsidRPr="0060022D" w:rsidRDefault="0060022D" w:rsidP="0060022D">
      <w:pPr>
        <w:spacing w:before="100" w:beforeAutospacing="1" w:after="240" w:line="300" w:lineRule="atLeast"/>
        <w:ind w:firstLine="1210"/>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u w:val="single"/>
          <w:lang w:eastAsia="es-AR"/>
        </w:rPr>
        <w:t xml:space="preserve">R E S U E L V </w:t>
      </w:r>
      <w:proofErr w:type="gramStart"/>
      <w:r w:rsidRPr="0060022D">
        <w:rPr>
          <w:rFonts w:ascii="Times New Roman" w:eastAsia="Times New Roman" w:hAnsi="Times New Roman" w:cs="Times New Roman"/>
          <w:b/>
          <w:bCs/>
          <w:color w:val="000000"/>
          <w:sz w:val="24"/>
          <w:szCs w:val="24"/>
          <w:u w:val="single"/>
          <w:lang w:eastAsia="es-AR"/>
        </w:rPr>
        <w:t>E :</w:t>
      </w:r>
      <w:proofErr w:type="gramEnd"/>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 </w:t>
      </w:r>
      <w:r w:rsidRPr="0060022D">
        <w:rPr>
          <w:rFonts w:ascii="Times New Roman" w:eastAsia="Times New Roman" w:hAnsi="Times New Roman" w:cs="Times New Roman"/>
          <w:color w:val="000000"/>
          <w:sz w:val="24"/>
          <w:szCs w:val="24"/>
          <w:lang w:eastAsia="es-AR"/>
        </w:rPr>
        <w:t>Hacer lugar al Recurso Extraordinario Provincial interpuesto y, en consecuencia, revocar la sentencia dictada por la Primera Cámara de Apelaciones en lo Civil de la Segunda Circunscripción Judicial, en fecha 10/02/2022, a fojas 1307 de los autos n° 13-04896618-1 (020301-31007), caratulados: “GIMENEZ MARCELO ANTONIO P/ SI Y P/ SU HIJA CANDELA GIMENEZ GONZALEZ,. GONZÁLEZ MARÍA ALEJANDRA P/ SI Y P/ SU HIJA CANDELA GIMENEZ GONZALEZ Y GIMENEZ SOFÍA C/ SCOLLO HUGO ARMANDO Y OTS. P/ DAÑOS Y PERJUICIOS”, la que queda redactada de la siguiente manera: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“I.- Declarar desierto el recurso de apelación interpuesto por Fiscalía de Estado, con costas. Rechazar en todas sus partes el recurso de apelación interpuesto por el señor HUGO ARMANDO SCOLLO contra la sentencia de fojas 1259.”</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“II.- Admitir el recurso de apelación interpuesto por la Provincia de Mendoza y, parcialmente, el deducido por la actora contra la sentencia de fs. 1259, la que queda redactada de la siguiente manera: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“1°) Hacer lugar parcialmente a la demanda incoada a fs. 898/914 y vta., por Candela Giménez, Marcelo Giménez, María Alejandra González, Sofía Giménez y Victoria Giménez, en consecuencia, condenar al Sr. Hugo Armando SCOLLO para que en el término de DIEZ DÍAS (10) de ejecutoriada la presente abone a la parte actora la suma de PESOS VEINTISEIS MILLONES ($ 26.000.000) en concepto de indemnización por los rubros y montos admitidos en autos, con más los intereses, conforme lo establecido en los considerandos precedentes”.</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“2°) Rechazar la demanda interpuesta contra la Provincia de Mendoza”.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“3°) Imponer las costas de la demanda, por lo que prospera, a cargo del demandado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Las costas de la demanda que se rechaza contra la Provincia de Mendoza, se imponen en el orden causado”.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“4°) Regular los honorarios profesionales por lo que prospera la demanda y a cargo del demandado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de la siguiente manera: </w:t>
      </w:r>
      <w:proofErr w:type="spellStart"/>
      <w:r w:rsidRPr="0060022D">
        <w:rPr>
          <w:rFonts w:ascii="Times New Roman" w:eastAsia="Times New Roman" w:hAnsi="Times New Roman" w:cs="Times New Roman"/>
          <w:color w:val="000000"/>
          <w:sz w:val="24"/>
          <w:szCs w:val="24"/>
          <w:lang w:eastAsia="es-AR"/>
        </w:rPr>
        <w:t>Dr.Tíndaro</w:t>
      </w:r>
      <w:proofErr w:type="spellEnd"/>
      <w:r w:rsidRPr="0060022D">
        <w:rPr>
          <w:rFonts w:ascii="Times New Roman" w:eastAsia="Times New Roman" w:hAnsi="Times New Roman" w:cs="Times New Roman"/>
          <w:color w:val="000000"/>
          <w:sz w:val="24"/>
          <w:szCs w:val="24"/>
          <w:lang w:eastAsia="es-AR"/>
        </w:rPr>
        <w:t xml:space="preserve"> FERNANDEZ, en la suma de pesos UN MILLÓN QUINIENTOS SESENTA MIL ($ 1.560.000); Dres. Pablo ALONSO, José Luis CORREA y Marina MEYDAC, en forma conjunta, en la suma de pesos TRES MILLONES CIENTO VEINTE MIL ($ 3.120.000); Dr. </w:t>
      </w:r>
      <w:proofErr w:type="spellStart"/>
      <w:r w:rsidRPr="0060022D">
        <w:rPr>
          <w:rFonts w:ascii="Times New Roman" w:eastAsia="Times New Roman" w:hAnsi="Times New Roman" w:cs="Times New Roman"/>
          <w:color w:val="000000"/>
          <w:sz w:val="24"/>
          <w:szCs w:val="24"/>
          <w:lang w:eastAsia="es-AR"/>
        </w:rPr>
        <w:t>Angel</w:t>
      </w:r>
      <w:proofErr w:type="spellEnd"/>
      <w:r w:rsidRPr="0060022D">
        <w:rPr>
          <w:rFonts w:ascii="Times New Roman" w:eastAsia="Times New Roman" w:hAnsi="Times New Roman" w:cs="Times New Roman"/>
          <w:color w:val="000000"/>
          <w:sz w:val="24"/>
          <w:szCs w:val="24"/>
          <w:lang w:eastAsia="es-AR"/>
        </w:rPr>
        <w:t xml:space="preserve"> ORLANDO en la suma de pesos UN MILLÓN NOVENTA Y DOS MIL ($ 1.092.000) y Dres. Guillermo ARBITELLI y Elina ROJAS, en forma conjunta, en la suma de pesos DOS MILLONES CIENTO OCHENTA Y CUATRO MIL ($ 2.184.000). Se omite regulación de honorarios a los profesionales que representaron y/o patrocinaron al Gobierno de la Provincia de Mendoza y a Fiscalía de Estado, atento lo establecido por la Ley 5394”.</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“5°) Regular los honorarios de los peritos intervinientes de la siguiente manera: Dra. Sara GOMEZ, en la suma de pesos CUATROCIENTOS SETENTA Y DOS MIL OCHENTA Y CINO CON OCHENTA CENTAVOS ($ 472.085,80) y Contadora MARÍA BELÉN PALMA, en la suma de pesos CUATROCIENTOS SETENTA Y DOS MIL OCHENTA Y CINO CON OCHENTA CENTAVOS ($ 472.085,80)”.</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“III.- Imponer las costas del recurso de apelación del demandado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al apelante vencido. Imponer las costas del recurso de apelación de la Provincia de Mendoza, en el orden causado”.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“IV.- Imponer las costas por el recurso de apelación de la actora, en lo que prospera, al demandado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por su orden respecto de la inadmisión parcial cuantitativa”.</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“V.- Regular los honorarios profesionales por el recurso de apelación deducido por la Provincia de Mendoza, en el orden causado, de la siguiente manera: Dra. Marina MEYDAC, en la suma de pesos SETECIENTOS OCHENTA MIL ($ 780.000); Dr. José Luis CORREA, en la suma de pesos SETECIENTOS OCHENTA MIL ($ 780.000) y Dr. </w:t>
      </w:r>
      <w:proofErr w:type="spellStart"/>
      <w:r w:rsidRPr="0060022D">
        <w:rPr>
          <w:rFonts w:ascii="Times New Roman" w:eastAsia="Times New Roman" w:hAnsi="Times New Roman" w:cs="Times New Roman"/>
          <w:color w:val="000000"/>
          <w:sz w:val="24"/>
          <w:szCs w:val="24"/>
          <w:lang w:eastAsia="es-AR"/>
        </w:rPr>
        <w:t>Tíndaro</w:t>
      </w:r>
      <w:proofErr w:type="spellEnd"/>
      <w:r w:rsidRPr="0060022D">
        <w:rPr>
          <w:rFonts w:ascii="Times New Roman" w:eastAsia="Times New Roman" w:hAnsi="Times New Roman" w:cs="Times New Roman"/>
          <w:color w:val="000000"/>
          <w:sz w:val="24"/>
          <w:szCs w:val="24"/>
          <w:lang w:eastAsia="es-AR"/>
        </w:rPr>
        <w:t xml:space="preserve"> FERNÁNDEZ, en la suma de pesos CUATROCIENTOS SESENTA Y OCHO MIL ($ 468.000)”.</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“VI.- Regular los honorarios profesionales por el recurso de apelación deducido por el demandado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y a su cargo, de la siguiente manera: Dr. Pablo ALONSO, en la suma de pesos UN MILLÓN QUINIENTOS SESENTA MIL ($ 1.560.000); Dr. </w:t>
      </w:r>
      <w:proofErr w:type="spellStart"/>
      <w:r w:rsidRPr="0060022D">
        <w:rPr>
          <w:rFonts w:ascii="Times New Roman" w:eastAsia="Times New Roman" w:hAnsi="Times New Roman" w:cs="Times New Roman"/>
          <w:color w:val="000000"/>
          <w:sz w:val="24"/>
          <w:szCs w:val="24"/>
          <w:lang w:eastAsia="es-AR"/>
        </w:rPr>
        <w:t>Tíndaro</w:t>
      </w:r>
      <w:proofErr w:type="spellEnd"/>
      <w:r w:rsidRPr="0060022D">
        <w:rPr>
          <w:rFonts w:ascii="Times New Roman" w:eastAsia="Times New Roman" w:hAnsi="Times New Roman" w:cs="Times New Roman"/>
          <w:color w:val="000000"/>
          <w:sz w:val="24"/>
          <w:szCs w:val="24"/>
          <w:lang w:eastAsia="es-AR"/>
        </w:rPr>
        <w:t xml:space="preserve"> FERNÁNDEZ, en la suma de pesos CUATROCIENTOS SESENTA Y OCHO MIL ($ 468.000); Dr. Guillermo ARBITELLI, en la suma de pesos UN MILLÓN NOVENTA Y DOS MIL ($ 1.092.000) y Dr. </w:t>
      </w:r>
      <w:proofErr w:type="spellStart"/>
      <w:r w:rsidRPr="0060022D">
        <w:rPr>
          <w:rFonts w:ascii="Times New Roman" w:eastAsia="Times New Roman" w:hAnsi="Times New Roman" w:cs="Times New Roman"/>
          <w:color w:val="000000"/>
          <w:sz w:val="24"/>
          <w:szCs w:val="24"/>
          <w:lang w:eastAsia="es-AR"/>
        </w:rPr>
        <w:t>Angel</w:t>
      </w:r>
      <w:proofErr w:type="spellEnd"/>
      <w:r w:rsidRPr="0060022D">
        <w:rPr>
          <w:rFonts w:ascii="Times New Roman" w:eastAsia="Times New Roman" w:hAnsi="Times New Roman" w:cs="Times New Roman"/>
          <w:color w:val="000000"/>
          <w:sz w:val="24"/>
          <w:szCs w:val="24"/>
          <w:lang w:eastAsia="es-AR"/>
        </w:rPr>
        <w:t xml:space="preserve"> ORLANDO, en la suma de pesos TRESCIENTOS VEINTISIETE MIL SEISCIENTOS ($ 327.600)”.</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“VII.- Regular los honorarios profesionales por el recurso de apelación de la parte actora, en cuanto se admite y a cargo del demandado Hugo </w:t>
      </w:r>
      <w:proofErr w:type="spellStart"/>
      <w:r w:rsidRPr="0060022D">
        <w:rPr>
          <w:rFonts w:ascii="Times New Roman" w:eastAsia="Times New Roman" w:hAnsi="Times New Roman" w:cs="Times New Roman"/>
          <w:color w:val="000000"/>
          <w:sz w:val="24"/>
          <w:szCs w:val="24"/>
          <w:lang w:eastAsia="es-AR"/>
        </w:rPr>
        <w:t>Scollo</w:t>
      </w:r>
      <w:proofErr w:type="spellEnd"/>
      <w:r w:rsidRPr="0060022D">
        <w:rPr>
          <w:rFonts w:ascii="Times New Roman" w:eastAsia="Times New Roman" w:hAnsi="Times New Roman" w:cs="Times New Roman"/>
          <w:color w:val="000000"/>
          <w:sz w:val="24"/>
          <w:szCs w:val="24"/>
          <w:lang w:eastAsia="es-AR"/>
        </w:rPr>
        <w:t xml:space="preserve">, de la siguiente manera: Dra. Marina MEYDAC, en la suma de pesos CIENTO SESENTA Y CINCO MIL ($ 165.000); Dr. José Luis CORREA, en la suma de pesos CIENTO SESENTAY CINCO MIL ($ 165.000); Dr. </w:t>
      </w:r>
      <w:proofErr w:type="spellStart"/>
      <w:r w:rsidRPr="0060022D">
        <w:rPr>
          <w:rFonts w:ascii="Times New Roman" w:eastAsia="Times New Roman" w:hAnsi="Times New Roman" w:cs="Times New Roman"/>
          <w:color w:val="000000"/>
          <w:sz w:val="24"/>
          <w:szCs w:val="24"/>
          <w:lang w:eastAsia="es-AR"/>
        </w:rPr>
        <w:t>Tíndaro</w:t>
      </w:r>
      <w:proofErr w:type="spellEnd"/>
      <w:r w:rsidRPr="0060022D">
        <w:rPr>
          <w:rFonts w:ascii="Times New Roman" w:eastAsia="Times New Roman" w:hAnsi="Times New Roman" w:cs="Times New Roman"/>
          <w:color w:val="000000"/>
          <w:sz w:val="24"/>
          <w:szCs w:val="24"/>
          <w:lang w:eastAsia="es-AR"/>
        </w:rPr>
        <w:t xml:space="preserve"> FERNÁNDEZ, en la suma de pesos NOVENTA Y NUEVE MIL ($ 99.000); Dr. Guillermo ARBITELLI, en la suma de pesos DOSCIENTOS TREINTA Y UN MIL ($ 231.000); Dr. </w:t>
      </w:r>
      <w:proofErr w:type="spellStart"/>
      <w:r w:rsidRPr="0060022D">
        <w:rPr>
          <w:rFonts w:ascii="Times New Roman" w:eastAsia="Times New Roman" w:hAnsi="Times New Roman" w:cs="Times New Roman"/>
          <w:color w:val="000000"/>
          <w:sz w:val="24"/>
          <w:szCs w:val="24"/>
          <w:lang w:eastAsia="es-AR"/>
        </w:rPr>
        <w:t>Angel</w:t>
      </w:r>
      <w:proofErr w:type="spellEnd"/>
      <w:r w:rsidRPr="0060022D">
        <w:rPr>
          <w:rFonts w:ascii="Times New Roman" w:eastAsia="Times New Roman" w:hAnsi="Times New Roman" w:cs="Times New Roman"/>
          <w:color w:val="000000"/>
          <w:sz w:val="24"/>
          <w:szCs w:val="24"/>
          <w:lang w:eastAsia="es-AR"/>
        </w:rPr>
        <w:t xml:space="preserve"> ORLANDO, en la suma de pesos SESENTA Y NUEVE MIL TRESCIENTOS ($ 69.300)”.</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 xml:space="preserve">“VIII.- Hacer saber a quienes </w:t>
      </w:r>
      <w:proofErr w:type="spellStart"/>
      <w:r w:rsidRPr="0060022D">
        <w:rPr>
          <w:rFonts w:ascii="Times New Roman" w:eastAsia="Times New Roman" w:hAnsi="Times New Roman" w:cs="Times New Roman"/>
          <w:color w:val="000000"/>
          <w:sz w:val="24"/>
          <w:szCs w:val="24"/>
          <w:lang w:eastAsia="es-AR"/>
        </w:rPr>
        <w:t>resulen</w:t>
      </w:r>
      <w:proofErr w:type="spellEnd"/>
      <w:r w:rsidRPr="0060022D">
        <w:rPr>
          <w:rFonts w:ascii="Times New Roman" w:eastAsia="Times New Roman" w:hAnsi="Times New Roman" w:cs="Times New Roman"/>
          <w:color w:val="000000"/>
          <w:sz w:val="24"/>
          <w:szCs w:val="24"/>
          <w:lang w:eastAsia="es-AR"/>
        </w:rPr>
        <w:t xml:space="preserve"> obligados al pago de los honorarios profesionales regulados en la presente, que deberán en su caso pagar el importe correspondiente al Impuesto al Valor Agregado sobre los mismos, de corresponder según la condición tributaria del profesional acreedor a la fecha del pago”.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II.- </w:t>
      </w:r>
      <w:r w:rsidRPr="0060022D">
        <w:rPr>
          <w:rFonts w:ascii="Times New Roman" w:eastAsia="Times New Roman" w:hAnsi="Times New Roman" w:cs="Times New Roman"/>
          <w:color w:val="000000"/>
          <w:sz w:val="24"/>
          <w:szCs w:val="24"/>
          <w:lang w:eastAsia="es-AR"/>
        </w:rPr>
        <w:t>Imponer las costas de la instancia extraordinaria en el orden causado.</w:t>
      </w:r>
    </w:p>
    <w:p w:rsidR="0060022D" w:rsidRPr="0060022D" w:rsidRDefault="0060022D" w:rsidP="0060022D">
      <w:pPr>
        <w:spacing w:before="100" w:beforeAutospacing="1" w:after="115"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III.- </w:t>
      </w:r>
      <w:r w:rsidRPr="0060022D">
        <w:rPr>
          <w:rFonts w:ascii="Times New Roman" w:eastAsia="Times New Roman" w:hAnsi="Times New Roman" w:cs="Times New Roman"/>
          <w:color w:val="000000"/>
          <w:sz w:val="24"/>
          <w:szCs w:val="24"/>
          <w:lang w:eastAsia="es-AR"/>
        </w:rPr>
        <w:t xml:space="preserve">Regular los honorarios profesionales por el trámite del recurso extraordinario de la siguiente manera: Dr. Pablo ALONSO, en la suma de pesos QUINIENTOS CUARENTA Y SEIS MIL ($ 546.000); Dr. José Luis CORREA, en la suma de pesos QUINIENTOS CUARENTA Y SEIS MIL ($ 546.000); Dr. </w:t>
      </w:r>
      <w:proofErr w:type="spellStart"/>
      <w:r w:rsidRPr="0060022D">
        <w:rPr>
          <w:rFonts w:ascii="Times New Roman" w:eastAsia="Times New Roman" w:hAnsi="Times New Roman" w:cs="Times New Roman"/>
          <w:color w:val="000000"/>
          <w:sz w:val="24"/>
          <w:szCs w:val="24"/>
          <w:lang w:eastAsia="es-AR"/>
        </w:rPr>
        <w:t>Tíndaro</w:t>
      </w:r>
      <w:proofErr w:type="spellEnd"/>
      <w:r w:rsidRPr="0060022D">
        <w:rPr>
          <w:rFonts w:ascii="Times New Roman" w:eastAsia="Times New Roman" w:hAnsi="Times New Roman" w:cs="Times New Roman"/>
          <w:color w:val="000000"/>
          <w:sz w:val="24"/>
          <w:szCs w:val="24"/>
          <w:lang w:eastAsia="es-AR"/>
        </w:rPr>
        <w:t xml:space="preserve"> FERNANDEZ, en la suma de pesos TRESCIENTOS VEINTISIETE MIL SEISCIENTOS ($ 327.600) y Dr. </w:t>
      </w:r>
      <w:proofErr w:type="spellStart"/>
      <w:r w:rsidRPr="0060022D">
        <w:rPr>
          <w:rFonts w:ascii="Times New Roman" w:eastAsia="Times New Roman" w:hAnsi="Times New Roman" w:cs="Times New Roman"/>
          <w:color w:val="000000"/>
          <w:sz w:val="24"/>
          <w:szCs w:val="24"/>
          <w:lang w:eastAsia="es-AR"/>
        </w:rPr>
        <w:t>Angel</w:t>
      </w:r>
      <w:proofErr w:type="spellEnd"/>
      <w:r w:rsidRPr="0060022D">
        <w:rPr>
          <w:rFonts w:ascii="Times New Roman" w:eastAsia="Times New Roman" w:hAnsi="Times New Roman" w:cs="Times New Roman"/>
          <w:color w:val="000000"/>
          <w:sz w:val="24"/>
          <w:szCs w:val="24"/>
          <w:lang w:eastAsia="es-AR"/>
        </w:rPr>
        <w:t xml:space="preserve"> ORLANDO, en la suma de pesos UN MILLÓN NOVENTA Y DOS MIL ($ 1.092.000) (Arts. 15 y 31 Ley 9131).</w:t>
      </w:r>
    </w:p>
    <w:p w:rsidR="0060022D" w:rsidRPr="0060022D" w:rsidRDefault="0060022D" w:rsidP="0060022D">
      <w:pPr>
        <w:spacing w:before="100" w:beforeAutospacing="1" w:after="0" w:line="300" w:lineRule="atLeast"/>
        <w:ind w:firstLine="1210"/>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b/>
          <w:bCs/>
          <w:color w:val="000000"/>
          <w:sz w:val="24"/>
          <w:szCs w:val="24"/>
          <w:lang w:eastAsia="es-AR"/>
        </w:rPr>
        <w:t>NOTIFIQUESE.</w:t>
      </w:r>
    </w:p>
    <w:p w:rsidR="0060022D" w:rsidRPr="0060022D" w:rsidRDefault="0060022D" w:rsidP="0060022D">
      <w:pPr>
        <w:spacing w:before="100" w:beforeAutospacing="1" w:after="0" w:line="240" w:lineRule="auto"/>
        <w:rPr>
          <w:rFonts w:ascii="Times New Roman" w:eastAsia="Times New Roman" w:hAnsi="Times New Roman" w:cs="Times New Roman"/>
          <w:color w:val="000000"/>
          <w:sz w:val="20"/>
          <w:szCs w:val="20"/>
          <w:lang w:eastAsia="es-AR"/>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4292"/>
        <w:gridCol w:w="4292"/>
      </w:tblGrid>
      <w:tr w:rsidR="0060022D" w:rsidRPr="0060022D" w:rsidTr="0060022D">
        <w:trPr>
          <w:tblCellSpacing w:w="0" w:type="dxa"/>
        </w:trPr>
        <w:tc>
          <w:tcPr>
            <w:tcW w:w="2500" w:type="pct"/>
            <w:hideMark/>
          </w:tcPr>
          <w:p w:rsidR="0060022D" w:rsidRPr="0060022D" w:rsidRDefault="0060022D" w:rsidP="0060022D">
            <w:pPr>
              <w:spacing w:before="100" w:beforeAutospacing="1" w:after="115" w:line="240" w:lineRule="auto"/>
              <w:rPr>
                <w:rFonts w:ascii="Times New Roman" w:eastAsia="Times New Roman" w:hAnsi="Times New Roman" w:cs="Times New Roman"/>
                <w:sz w:val="20"/>
                <w:szCs w:val="20"/>
                <w:lang w:eastAsia="es-AR"/>
              </w:rPr>
            </w:pPr>
            <w:r w:rsidRPr="0060022D">
              <w:rPr>
                <w:rFonts w:ascii="Times New Roman" w:eastAsia="Times New Roman" w:hAnsi="Times New Roman" w:cs="Times New Roman"/>
                <w:sz w:val="24"/>
                <w:szCs w:val="24"/>
                <w:lang w:eastAsia="es-AR"/>
              </w:rPr>
              <w:br/>
            </w:r>
            <w:r w:rsidRPr="0060022D">
              <w:rPr>
                <w:rFonts w:ascii="Times New Roman" w:eastAsia="Times New Roman" w:hAnsi="Times New Roman" w:cs="Times New Roman"/>
                <w:sz w:val="24"/>
                <w:szCs w:val="24"/>
                <w:lang w:eastAsia="es-AR"/>
              </w:rPr>
              <w:br/>
              <w:t>DR. PEDRO J. LLORENTE</w:t>
            </w:r>
            <w:r w:rsidRPr="0060022D">
              <w:rPr>
                <w:rFonts w:ascii="Times New Roman" w:eastAsia="Times New Roman" w:hAnsi="Times New Roman" w:cs="Times New Roman"/>
                <w:sz w:val="24"/>
                <w:szCs w:val="24"/>
                <w:lang w:eastAsia="es-AR"/>
              </w:rPr>
              <w:br/>
              <w:t>Ministro</w:t>
            </w:r>
          </w:p>
        </w:tc>
        <w:tc>
          <w:tcPr>
            <w:tcW w:w="2500" w:type="pct"/>
            <w:hideMark/>
          </w:tcPr>
          <w:p w:rsidR="0060022D" w:rsidRPr="0060022D" w:rsidRDefault="0060022D" w:rsidP="0060022D">
            <w:pPr>
              <w:spacing w:before="100" w:beforeAutospacing="1" w:after="115" w:line="240" w:lineRule="auto"/>
              <w:rPr>
                <w:rFonts w:ascii="Times New Roman" w:eastAsia="Times New Roman" w:hAnsi="Times New Roman" w:cs="Times New Roman"/>
                <w:sz w:val="20"/>
                <w:szCs w:val="20"/>
                <w:lang w:eastAsia="es-AR"/>
              </w:rPr>
            </w:pPr>
            <w:r w:rsidRPr="0060022D">
              <w:rPr>
                <w:rFonts w:ascii="Times New Roman" w:eastAsia="Times New Roman" w:hAnsi="Times New Roman" w:cs="Times New Roman"/>
                <w:sz w:val="24"/>
                <w:szCs w:val="24"/>
                <w:lang w:eastAsia="es-AR"/>
              </w:rPr>
              <w:br/>
            </w:r>
            <w:r w:rsidRPr="0060022D">
              <w:rPr>
                <w:rFonts w:ascii="Times New Roman" w:eastAsia="Times New Roman" w:hAnsi="Times New Roman" w:cs="Times New Roman"/>
                <w:sz w:val="24"/>
                <w:szCs w:val="24"/>
                <w:lang w:eastAsia="es-AR"/>
              </w:rPr>
              <w:br/>
              <w:t>DRA. MARÍA TERESA DAY</w:t>
            </w:r>
            <w:r w:rsidRPr="0060022D">
              <w:rPr>
                <w:rFonts w:ascii="Times New Roman" w:eastAsia="Times New Roman" w:hAnsi="Times New Roman" w:cs="Times New Roman"/>
                <w:sz w:val="24"/>
                <w:szCs w:val="24"/>
                <w:lang w:eastAsia="es-AR"/>
              </w:rPr>
              <w:br/>
              <w:t>Ministro</w:t>
            </w:r>
          </w:p>
        </w:tc>
      </w:tr>
    </w:tbl>
    <w:p w:rsidR="0060022D" w:rsidRPr="0060022D" w:rsidRDefault="0060022D" w:rsidP="0060022D">
      <w:pPr>
        <w:spacing w:before="100" w:beforeAutospacing="1" w:after="0" w:line="240" w:lineRule="auto"/>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0" w:line="240" w:lineRule="auto"/>
        <w:rPr>
          <w:rFonts w:ascii="Times New Roman" w:eastAsia="Times New Roman" w:hAnsi="Times New Roman" w:cs="Times New Roman"/>
          <w:color w:val="000000"/>
          <w:sz w:val="20"/>
          <w:szCs w:val="20"/>
          <w:lang w:eastAsia="es-AR"/>
        </w:rPr>
      </w:pPr>
    </w:p>
    <w:p w:rsidR="0060022D" w:rsidRPr="0060022D" w:rsidRDefault="0060022D" w:rsidP="0060022D">
      <w:pPr>
        <w:spacing w:before="100" w:beforeAutospacing="1" w:after="0" w:line="200" w:lineRule="atLeast"/>
        <w:rPr>
          <w:rFonts w:ascii="Times New Roman" w:eastAsia="Times New Roman" w:hAnsi="Times New Roman" w:cs="Times New Roman"/>
          <w:color w:val="000000"/>
          <w:sz w:val="20"/>
          <w:szCs w:val="20"/>
          <w:lang w:eastAsia="es-AR"/>
        </w:rPr>
      </w:pPr>
      <w:r w:rsidRPr="0060022D">
        <w:rPr>
          <w:rFonts w:ascii="Times New Roman" w:eastAsia="Times New Roman" w:hAnsi="Times New Roman" w:cs="Times New Roman"/>
          <w:color w:val="000000"/>
          <w:sz w:val="24"/>
          <w:szCs w:val="24"/>
          <w:lang w:eastAsia="es-AR"/>
        </w:rPr>
        <w:t>DR. JULIO RAMÓN GÓMEZ</w:t>
      </w:r>
      <w:r w:rsidRPr="0060022D">
        <w:rPr>
          <w:rFonts w:ascii="Times New Roman" w:eastAsia="Times New Roman" w:hAnsi="Times New Roman" w:cs="Times New Roman"/>
          <w:color w:val="000000"/>
          <w:sz w:val="24"/>
          <w:szCs w:val="24"/>
          <w:lang w:eastAsia="es-AR"/>
        </w:rPr>
        <w:br/>
        <w:t>Ministro</w:t>
      </w:r>
    </w:p>
    <w:p w:rsidR="00EB011A" w:rsidRDefault="00EB011A"/>
    <w:sectPr w:rsidR="00EB01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114A8"/>
    <w:multiLevelType w:val="multilevel"/>
    <w:tmpl w:val="38D0F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00"/>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97A55"/>
    <w:multiLevelType w:val="multilevel"/>
    <w:tmpl w:val="E8E4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5195E"/>
    <w:multiLevelType w:val="multilevel"/>
    <w:tmpl w:val="9BFEF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0C52E7"/>
    <w:multiLevelType w:val="multilevel"/>
    <w:tmpl w:val="6046B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0"/>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2D"/>
    <w:rsid w:val="0060022D"/>
    <w:rsid w:val="00672144"/>
    <w:rsid w:val="00EB01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1BA13-EAB3-4EAF-8D47-375BCEAF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60022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60022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603897">
      <w:bodyDiv w:val="1"/>
      <w:marLeft w:val="0"/>
      <w:marRight w:val="0"/>
      <w:marTop w:val="0"/>
      <w:marBottom w:val="0"/>
      <w:divBdr>
        <w:top w:val="none" w:sz="0" w:space="0" w:color="auto"/>
        <w:left w:val="none" w:sz="0" w:space="0" w:color="auto"/>
        <w:bottom w:val="none" w:sz="0" w:space="0" w:color="auto"/>
        <w:right w:val="none" w:sz="0" w:space="0" w:color="auto"/>
      </w:divBdr>
      <w:divsChild>
        <w:div w:id="14916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8493</Words>
  <Characters>46712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Morandini</dc:creator>
  <cp:lastModifiedBy>Andrea Morici</cp:lastModifiedBy>
  <cp:revision>2</cp:revision>
  <dcterms:created xsi:type="dcterms:W3CDTF">2023-03-13T14:35:00Z</dcterms:created>
  <dcterms:modified xsi:type="dcterms:W3CDTF">2023-03-13T14:35:00Z</dcterms:modified>
</cp:coreProperties>
</file>